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right"/>
        <w:rPr>
          <w:rFonts w:ascii="楷体" w:hAnsi="楷体" w:eastAsia="楷体"/>
          <w:b/>
          <w:color w:val="000000" w:themeColor="text1"/>
          <w:sz w:val="28"/>
          <w:szCs w:val="28"/>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8"/>
          <w:szCs w:val="28"/>
        </w:rPr>
        <w:t>0116-2021-E</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anchor distT="0" distB="0" distL="0" distR="0" simplePos="0" relativeHeight="251661312" behindDoc="0" locked="0" layoutInCell="1" allowOverlap="1">
            <wp:simplePos x="0" y="0"/>
            <wp:positionH relativeFrom="column">
              <wp:posOffset>1703070</wp:posOffset>
            </wp:positionH>
            <wp:positionV relativeFrom="paragraph">
              <wp:posOffset>0</wp:posOffset>
            </wp:positionV>
            <wp:extent cx="1887220" cy="1887220"/>
            <wp:effectExtent l="19050" t="0" r="0"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anchor>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themeColor="text1"/>
          <w:sz w:val="32"/>
          <w:szCs w:val="32"/>
          <w:u w:val="single"/>
          <w:lang w:eastAsia="zh-CN"/>
        </w:rPr>
        <w:t>任丘市红河邮电器材有限公司</w:t>
      </w:r>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50"/>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b/>
                <w:color w:val="000000" w:themeColor="text1"/>
                <w:sz w:val="20"/>
                <w:szCs w:val="20"/>
              </w:rPr>
              <w:t>010-51095332</w:t>
            </w:r>
          </w:p>
        </w:tc>
        <w:tc>
          <w:tcPr>
            <w:tcW w:w="1150"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2"/>
            <w:vAlign w:val="center"/>
          </w:tcPr>
          <w:p>
            <w:pPr>
              <w:spacing w:line="240" w:lineRule="exact"/>
              <w:jc w:val="center"/>
              <w:rPr>
                <w:b/>
                <w:color w:val="000000" w:themeColor="text1"/>
                <w:sz w:val="20"/>
                <w:szCs w:val="20"/>
              </w:rPr>
            </w:pPr>
            <w:r>
              <w:rPr>
                <w:rFonts w:hint="eastAsia"/>
                <w:b/>
                <w:color w:val="000000"/>
                <w:sz w:val="20"/>
                <w:szCs w:val="20"/>
              </w:rPr>
              <w:t>2020-N1EMS-3022240</w:t>
            </w:r>
          </w:p>
        </w:tc>
        <w:tc>
          <w:tcPr>
            <w:tcW w:w="2333"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eastAsia="zh-CN"/>
              </w:rPr>
              <w:t>17.12.03;17.12.05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rFonts w:hint="eastAsia" w:eastAsia="宋体"/>
                <w:b/>
                <w:color w:val="000000" w:themeColor="text1"/>
                <w:sz w:val="20"/>
                <w:szCs w:val="20"/>
                <w:lang w:val="en-US" w:eastAsia="zh-CN"/>
              </w:rPr>
            </w:pPr>
          </w:p>
        </w:tc>
        <w:tc>
          <w:tcPr>
            <w:tcW w:w="992" w:type="dxa"/>
            <w:vAlign w:val="center"/>
          </w:tcPr>
          <w:p>
            <w:pPr>
              <w:spacing w:line="240" w:lineRule="exact"/>
              <w:jc w:val="center"/>
              <w:rPr>
                <w:rFonts w:hint="eastAsia" w:eastAsia="宋体"/>
                <w:b/>
                <w:color w:val="000000" w:themeColor="text1"/>
                <w:sz w:val="20"/>
                <w:szCs w:val="20"/>
                <w:lang w:val="en-US" w:eastAsia="zh-CN"/>
              </w:rPr>
            </w:pPr>
          </w:p>
        </w:tc>
        <w:tc>
          <w:tcPr>
            <w:tcW w:w="1216" w:type="dxa"/>
            <w:vAlign w:val="center"/>
          </w:tcPr>
          <w:p>
            <w:pPr>
              <w:spacing w:line="240" w:lineRule="exact"/>
              <w:jc w:val="center"/>
              <w:rPr>
                <w:rFonts w:hint="eastAsia" w:eastAsia="宋体"/>
                <w:b/>
                <w:color w:val="000000" w:themeColor="text1"/>
                <w:sz w:val="20"/>
                <w:szCs w:val="20"/>
                <w:lang w:val="en-US" w:eastAsia="zh-CN"/>
              </w:rPr>
            </w:pPr>
          </w:p>
        </w:tc>
        <w:tc>
          <w:tcPr>
            <w:tcW w:w="3478" w:type="dxa"/>
            <w:gridSpan w:val="2"/>
            <w:vAlign w:val="center"/>
          </w:tcPr>
          <w:p>
            <w:pPr>
              <w:spacing w:line="240" w:lineRule="exact"/>
              <w:jc w:val="center"/>
              <w:rPr>
                <w:rFonts w:hint="default" w:eastAsia="宋体"/>
                <w:b/>
                <w:color w:val="000000"/>
                <w:sz w:val="20"/>
                <w:szCs w:val="20"/>
                <w:lang w:val="en-US" w:eastAsia="zh-CN"/>
              </w:rPr>
            </w:pPr>
          </w:p>
        </w:tc>
        <w:tc>
          <w:tcPr>
            <w:tcW w:w="2333" w:type="dxa"/>
            <w:gridSpan w:val="2"/>
            <w:vAlign w:val="center"/>
          </w:tcPr>
          <w:p>
            <w:pPr>
              <w:spacing w:line="240" w:lineRule="exact"/>
              <w:jc w:val="center"/>
              <w:rPr>
                <w:rFonts w:hint="eastAsia"/>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2"/>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2"/>
            <w:vAlign w:val="center"/>
          </w:tcPr>
          <w:p>
            <w:pPr>
              <w:rPr>
                <w:rFonts w:hint="eastAsia" w:eastAsia="宋体"/>
                <w:b/>
                <w:color w:val="000000" w:themeColor="text1"/>
                <w:lang w:eastAsia="zh-CN"/>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b/>
          <w:color w:val="000000"/>
          <w:sz w:val="20"/>
          <w:szCs w:val="20"/>
          <w:lang w:val="de-DE"/>
        </w:rPr>
      </w:pPr>
      <w:r>
        <w:rPr>
          <w:rFonts w:hint="eastAsia" w:ascii="宋体" w:hAnsi="宋体"/>
          <w:b/>
          <w:color w:val="000000" w:themeColor="text1"/>
          <w:sz w:val="26"/>
          <w:szCs w:val="26"/>
        </w:rPr>
        <w:t>审核准则</w:t>
      </w:r>
    </w:p>
    <w:p>
      <w:pPr>
        <w:spacing w:line="300" w:lineRule="auto"/>
        <w:rPr>
          <w:rFonts w:ascii="宋体"/>
          <w:b/>
          <w:color w:val="000000"/>
          <w:sz w:val="20"/>
          <w:szCs w:val="20"/>
          <w:lang w:val="de-DE"/>
        </w:rPr>
      </w:pP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rPr>
          <w:rFonts w:hint="default" w:ascii="宋体" w:hAnsi="宋体" w:eastAsia="宋体"/>
          <w:b/>
          <w:color w:val="000000" w:themeColor="text1"/>
          <w:spacing w:val="-1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pStyle w:val="12"/>
        <w:numPr>
          <w:ilvl w:val="0"/>
          <w:numId w:val="1"/>
        </w:numPr>
        <w:ind w:left="-142" w:hanging="709" w:firstLineChars="0"/>
        <w:rPr>
          <w:rFonts w:ascii="宋体" w:hAnsi="宋体"/>
          <w:b/>
          <w:color w:val="000000" w:themeColor="text1"/>
          <w:spacing w:val="-10"/>
          <w:sz w:val="20"/>
          <w:szCs w:val="20"/>
        </w:rPr>
      </w:pPr>
      <w:r>
        <w:rPr>
          <w:rFonts w:hint="eastAsia" w:ascii="宋体" w:hAnsi="宋体" w:cs="Times New Roman"/>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757"/>
        <w:gridCol w:w="943"/>
        <w:gridCol w:w="401"/>
        <w:gridCol w:w="336"/>
        <w:gridCol w:w="1100"/>
        <w:gridCol w:w="566"/>
        <w:gridCol w:w="198"/>
        <w:gridCol w:w="1272"/>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37" w:type="dxa"/>
            <w:gridSpan w:val="5"/>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任丘市红河邮电器材有限公司</w:t>
            </w:r>
          </w:p>
        </w:tc>
        <w:tc>
          <w:tcPr>
            <w:tcW w:w="2036"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1384"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4537" w:type="dxa"/>
            <w:gridSpan w:val="5"/>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lang w:eastAsia="zh-CN"/>
              </w:rPr>
              <w:t>任丘市麻家坞镇麻家坞工业区</w:t>
            </w:r>
          </w:p>
        </w:tc>
        <w:tc>
          <w:tcPr>
            <w:tcW w:w="764" w:type="dxa"/>
            <w:gridSpan w:val="2"/>
            <w:vMerge w:val="restart"/>
            <w:vAlign w:val="center"/>
          </w:tcPr>
          <w:p>
            <w:pPr>
              <w:spacing w:line="280" w:lineRule="exact"/>
              <w:jc w:val="both"/>
              <w:rPr>
                <w:rFonts w:hint="default" w:ascii="Times New Roman" w:hAnsi="Times New Roman" w:eastAsia="宋体" w:cs="Times New Roman"/>
                <w:b/>
                <w:color w:val="auto"/>
                <w:kern w:val="2"/>
                <w:sz w:val="20"/>
                <w:szCs w:val="20"/>
                <w:lang w:val="en-US" w:eastAsia="zh-CN" w:bidi="ar-SA"/>
              </w:rPr>
            </w:pPr>
            <w:r>
              <w:rPr>
                <w:rFonts w:hint="eastAsia"/>
                <w:sz w:val="21"/>
                <w:szCs w:val="21"/>
              </w:rPr>
              <w:t>邮编</w:t>
            </w:r>
          </w:p>
          <w:p>
            <w:pPr>
              <w:spacing w:line="280" w:lineRule="exact"/>
              <w:jc w:val="both"/>
              <w:rPr>
                <w:rFonts w:hint="default" w:ascii="Times New Roman" w:hAnsi="Times New Roman" w:cs="Times New Roman"/>
                <w:b/>
                <w:color w:val="000000" w:themeColor="text1"/>
                <w:sz w:val="20"/>
                <w:szCs w:val="20"/>
              </w:rPr>
            </w:pPr>
          </w:p>
        </w:tc>
        <w:tc>
          <w:tcPr>
            <w:tcW w:w="2656"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b w:val="0"/>
                <w:bCs w:val="0"/>
                <w:sz w:val="21"/>
                <w:szCs w:val="21"/>
                <w:lang w:eastAsia="zh-CN"/>
              </w:rPr>
              <w:t>062554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生产地址</w:t>
            </w:r>
          </w:p>
        </w:tc>
        <w:tc>
          <w:tcPr>
            <w:tcW w:w="4537" w:type="dxa"/>
            <w:gridSpan w:val="5"/>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lang w:eastAsia="zh-CN"/>
              </w:rPr>
              <w:t>任丘市麻家坞镇麻家坞工业区</w:t>
            </w:r>
          </w:p>
        </w:tc>
        <w:tc>
          <w:tcPr>
            <w:tcW w:w="764" w:type="dxa"/>
            <w:gridSpan w:val="2"/>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themeColor="text1"/>
                <w:sz w:val="20"/>
                <w:szCs w:val="20"/>
              </w:rPr>
            </w:pPr>
          </w:p>
        </w:tc>
        <w:tc>
          <w:tcPr>
            <w:tcW w:w="2656"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b w:val="0"/>
                <w:bCs w:val="0"/>
                <w:sz w:val="21"/>
                <w:szCs w:val="21"/>
                <w:lang w:eastAsia="zh-CN"/>
              </w:rPr>
              <w:t>062554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757"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sz w:val="21"/>
                <w:szCs w:val="21"/>
              </w:rPr>
              <w:t>马秋花</w:t>
            </w:r>
          </w:p>
        </w:tc>
        <w:tc>
          <w:tcPr>
            <w:tcW w:w="1344"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电话</w:t>
            </w:r>
          </w:p>
        </w:tc>
        <w:tc>
          <w:tcPr>
            <w:tcW w:w="1436"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sz w:val="21"/>
                <w:szCs w:val="21"/>
              </w:rPr>
              <w:t>13333270991</w:t>
            </w:r>
          </w:p>
        </w:tc>
        <w:tc>
          <w:tcPr>
            <w:tcW w:w="764"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5" w:name="联系人传真"/>
            <w:bookmarkEnd w:id="5"/>
            <w:r>
              <w:rPr>
                <w:rFonts w:hint="eastAsia"/>
                <w:sz w:val="21"/>
                <w:szCs w:val="21"/>
              </w:rPr>
              <w:t>传真</w:t>
            </w:r>
          </w:p>
        </w:tc>
        <w:tc>
          <w:tcPr>
            <w:tcW w:w="2656"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757"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sz w:val="21"/>
                <w:szCs w:val="21"/>
              </w:rPr>
              <w:t>郭宁波</w:t>
            </w:r>
          </w:p>
        </w:tc>
        <w:tc>
          <w:tcPr>
            <w:tcW w:w="1344"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管理者代表</w:t>
            </w:r>
          </w:p>
        </w:tc>
        <w:tc>
          <w:tcPr>
            <w:tcW w:w="1436"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6" w:name="最高管理者"/>
            <w:bookmarkEnd w:id="6"/>
            <w:r>
              <w:rPr>
                <w:sz w:val="21"/>
                <w:szCs w:val="21"/>
              </w:rPr>
              <w:t>郭宁波</w:t>
            </w:r>
          </w:p>
        </w:tc>
        <w:tc>
          <w:tcPr>
            <w:tcW w:w="764"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邮箱</w:t>
            </w:r>
          </w:p>
        </w:tc>
        <w:tc>
          <w:tcPr>
            <w:tcW w:w="2656"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sz w:val="21"/>
                <w:szCs w:val="21"/>
              </w:rPr>
              <w:t>honghegongsi668@163.com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9"/>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u w:val="single"/>
              </w:rPr>
            </w:pPr>
            <w:bookmarkStart w:id="7" w:name="审核范围"/>
            <w:r>
              <w:rPr>
                <w:rFonts w:hint="eastAsia" w:ascii="宋体" w:hAnsi="宋体"/>
                <w:szCs w:val="21"/>
              </w:rPr>
              <w:t>线路铁件、钢绞线、机箱机柜的生产所涉及场所的相关环境管理活动</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437"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17.12.03;17.12.05</w:t>
            </w:r>
          </w:p>
        </w:tc>
        <w:tc>
          <w:tcPr>
            <w:tcW w:w="186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2656"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体系实施时间</w:t>
            </w:r>
          </w:p>
        </w:tc>
        <w:tc>
          <w:tcPr>
            <w:tcW w:w="2700" w:type="dxa"/>
            <w:gridSpan w:val="2"/>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bookmarkStart w:id="8" w:name="体系运行时间"/>
            <w:bookmarkEnd w:id="8"/>
            <w:r>
              <w:rPr>
                <w:rFonts w:hint="eastAsia" w:ascii="宋体"/>
                <w:b/>
                <w:color w:val="000000"/>
                <w:sz w:val="20"/>
                <w:szCs w:val="20"/>
                <w:lang w:val="en-US" w:eastAsia="zh-CN"/>
              </w:rPr>
              <w:t>2020年7月1日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rPr>
              <w:t>4.1</w:t>
            </w:r>
            <w:r>
              <w:rPr>
                <w:rFonts w:hint="eastAsia"/>
                <w:sz w:val="21"/>
                <w:szCs w:val="21"/>
                <w:lang w:val="en-US" w:eastAsia="zh-CN"/>
              </w:rPr>
              <w:t>/4.2/4.3/4.4/5.1/5.2/5.3/6.1/6.2/7.1/9.1.1/9.3/10.1/10.3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生产技术部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1"/>
                <w:szCs w:val="21"/>
              </w:rPr>
            </w:pPr>
            <w:r>
              <w:rPr>
                <w:rFonts w:hint="eastAsia"/>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5.3/7.2/7.3/7.4/7.5/8.2/9.2/6.1.2/6.1.3/6.2/8.1/9.1.2/10.2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9919"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1"/>
        <w:gridCol w:w="1536"/>
        <w:gridCol w:w="1349"/>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产品名称/服务名称</w:t>
            </w:r>
          </w:p>
        </w:tc>
        <w:tc>
          <w:tcPr>
            <w:tcW w:w="15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型号/服务类型</w:t>
            </w:r>
          </w:p>
        </w:tc>
        <w:tc>
          <w:tcPr>
            <w:tcW w:w="134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35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szCs w:val="21"/>
              </w:rPr>
              <w:t>线路铁件、钢绞线、机箱机柜</w:t>
            </w:r>
          </w:p>
        </w:tc>
        <w:tc>
          <w:tcPr>
            <w:tcW w:w="1536"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1349"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35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9"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9"/>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公司确定了与</w:t>
            </w:r>
            <w:r>
              <w:rPr>
                <w:rFonts w:hint="eastAsia"/>
                <w:lang w:eastAsia="zh-CN"/>
              </w:rPr>
              <w:t>环境</w:t>
            </w:r>
            <w:r>
              <w:rPr>
                <w:rFonts w:hint="eastAsia"/>
              </w:rPr>
              <w:t>管理体系有关的相关方包括股东、政府机构、顾客、</w:t>
            </w:r>
            <w:r>
              <w:rPr>
                <w:rFonts w:hint="eastAsia"/>
                <w:lang w:val="en-US" w:eastAsia="zh-CN"/>
              </w:rPr>
              <w:t>供方</w:t>
            </w:r>
            <w:r>
              <w:rPr>
                <w:rFonts w:hint="eastAsia"/>
              </w:rPr>
              <w:t>、内部员工等。相关方对企业的要求有：遵守国家的现行法律法规、产品节能环保，对环境无重大污染以及不断提高</w:t>
            </w:r>
            <w:r>
              <w:rPr>
                <w:rFonts w:hint="eastAsia"/>
                <w:lang w:val="en-US" w:eastAsia="zh-CN"/>
              </w:rPr>
              <w:t>相关方</w:t>
            </w:r>
            <w:r>
              <w:rPr>
                <w:rFonts w:hint="eastAsia"/>
              </w:rPr>
              <w:t>满意度等。</w:t>
            </w:r>
            <w:r>
              <w:rPr>
                <w:rFonts w:hint="eastAsia"/>
                <w:lang w:val="en-US" w:eastAsia="zh-CN"/>
              </w:rPr>
              <w:t>公司通过</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环境</w:t>
            </w:r>
            <w:r>
              <w:rPr>
                <w:rFonts w:hint="eastAsia"/>
              </w:rPr>
              <w:t>绩效</w:t>
            </w:r>
            <w:r>
              <w:rPr>
                <w:rFonts w:hint="eastAsia"/>
                <w:lang w:val="en-US" w:eastAsia="zh-CN"/>
              </w:rPr>
              <w:t>等，</w:t>
            </w:r>
            <w:r>
              <w:rPr>
                <w:rFonts w:hint="eastAsia"/>
              </w:rPr>
              <w:t>公司管理层及相关部门将持续关注相关方需求的变化，通过评估风险和机遇，调整管理体系目标和指标或变更管理过程以适应这些变化或实现改进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eastAsia="宋体" w:cs="宋体"/>
                <w:lang w:val="en-US" w:eastAsia="zh-CN"/>
              </w:rPr>
            </w:pPr>
            <w:r>
              <w:t>1.</w:t>
            </w:r>
            <w:r>
              <w:rPr>
                <w:rFonts w:hint="eastAsia"/>
                <w:lang w:val="en-US" w:eastAsia="zh-CN"/>
              </w:rPr>
              <w:t xml:space="preserve"> </w:t>
            </w:r>
            <w:r>
              <w:rPr>
                <w:rFonts w:hint="eastAsia" w:cs="宋体"/>
              </w:rPr>
              <w:t>管理方针：减少污染、节能降耗、遵纪守法、持续改进</w:t>
            </w:r>
            <w:r>
              <w:rPr>
                <w:rFonts w:hint="eastAsia" w:cs="宋体"/>
                <w:lang w:val="en-US" w:eastAsia="zh-CN"/>
              </w:rPr>
              <w:t>.</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8"/>
                <w:sz w:val="20"/>
                <w:szCs w:val="20"/>
              </w:rPr>
            </w:pPr>
            <w:r>
              <w:rPr>
                <w:rFonts w:hint="eastAsia"/>
                <w:b/>
                <w:color w:val="000000" w:themeColor="text1"/>
                <w:sz w:val="20"/>
                <w:szCs w:val="20"/>
                <w:lang w:val="en-US" w:eastAsia="zh-CN"/>
              </w:rPr>
              <w:t>4</w:t>
            </w:r>
            <w:r>
              <w:rPr>
                <w:rFonts w:hint="eastAsia"/>
                <w:b/>
                <w:color w:val="000000" w:themeColor="text1"/>
                <w:sz w:val="20"/>
                <w:szCs w:val="20"/>
              </w:rPr>
              <w:t xml:space="preserve">.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废气的排放、噪声排放</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5</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获取法律法规项，☑法律法规获取充分，□法律法规获取有遗漏，缺少</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结合公司的☑产品/服务☑环境因素□危险源，☑确定 □未确定法律法规要求的具体条款，</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法律法规的宣传方式：培训</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b/>
                <w:color w:val="000000" w:themeColor="text1"/>
                <w:sz w:val="21"/>
                <w:szCs w:val="21"/>
              </w:rPr>
            </w:pPr>
            <w:r>
              <w:rPr>
                <w:rFonts w:hint="eastAsia" w:ascii="宋体" w:hAnsi="宋体" w:eastAsia="宋体" w:cs="Times New Roman"/>
                <w:kern w:val="2"/>
                <w:sz w:val="21"/>
                <w:szCs w:val="21"/>
                <w:lang w:val="en-US" w:eastAsia="zh-CN" w:bidi="ar-SA"/>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6</w:t>
            </w:r>
            <w:r>
              <w:rPr>
                <w:rFonts w:hint="eastAsia"/>
                <w:b/>
                <w:color w:val="000000" w:themeColor="text1"/>
                <w:szCs w:val="21"/>
              </w:rPr>
              <w:t xml:space="preserve">. </w:t>
            </w:r>
            <w:r>
              <w:rPr>
                <w:rFonts w:hint="eastAsia" w:ascii="宋体" w:hAnsi="宋体"/>
                <w:b/>
                <w:color w:val="000000" w:themeColor="text1"/>
                <w:szCs w:val="21"/>
              </w:rPr>
              <w:t>目标、方案</w:t>
            </w:r>
          </w:p>
          <w:p>
            <w:pPr>
              <w:numPr>
                <w:ilvl w:val="0"/>
                <w:numId w:val="0"/>
              </w:numPr>
              <w:rPr>
                <w:rFonts w:hint="eastAsia" w:ascii="Times New Roman" w:hAnsi="Times New Roman" w:cs="宋体"/>
                <w:lang w:eastAsia="zh-CN"/>
              </w:rPr>
            </w:pPr>
            <w:r>
              <w:rPr>
                <w:rFonts w:hint="eastAsia" w:ascii="Times New Roman" w:hAnsi="Times New Roman" w:cs="宋体"/>
              </w:rPr>
              <w:t>公司环境目标</w:t>
            </w:r>
            <w:r>
              <w:rPr>
                <w:rFonts w:hint="eastAsia" w:cs="宋体"/>
                <w:lang w:eastAsia="zh-CN"/>
              </w:rPr>
              <w:t>：1.固体废弃物100％分类处置；2.污染物的排放达标；3.杜绝火灾事故。</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w:t>
            </w:r>
            <w:r>
              <w:rPr>
                <w:rFonts w:hint="eastAsia" w:cs="宋体"/>
                <w:lang w:val="en-US" w:eastAsia="zh-CN"/>
              </w:rPr>
              <w:t>20</w:t>
            </w:r>
            <w:r>
              <w:rPr>
                <w:rFonts w:hint="eastAsia" w:ascii="Times New Roman" w:hAnsi="Times New Roman" w:cs="宋体"/>
                <w:lang w:val="en-US" w:eastAsia="zh-CN"/>
              </w:rPr>
              <w:t>年目标考核记录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办公室</w:t>
            </w:r>
            <w:r>
              <w:rPr>
                <w:rFonts w:hint="eastAsia" w:ascii="Times New Roman" w:hAnsi="Times New Roman" w:cs="宋体"/>
              </w:rPr>
              <w:t>组织编写，总经理批准发布实施，</w:t>
            </w:r>
            <w:r>
              <w:rPr>
                <w:rFonts w:hint="eastAsia" w:cs="宋体"/>
                <w:lang w:eastAsia="zh-CN"/>
              </w:rPr>
              <w:t>办公室</w:t>
            </w:r>
            <w:r>
              <w:rPr>
                <w:rFonts w:hint="eastAsia" w:ascii="Times New Roman" w:hAnsi="Times New Roman" w:cs="宋体"/>
              </w:rPr>
              <w:t>打印传阅，公司文件柜存放，电子版本在电脑上，每个人均可查阅。外来文件电子版本在电脑上，每个人均可查阅，产品技术标准打印一套，放于文件柜内该公司人员均可查阅，外来人员查阅需经过总经理批准。记录管理：</w:t>
            </w:r>
            <w:r>
              <w:rPr>
                <w:rFonts w:hint="eastAsia"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25</w:t>
            </w:r>
            <w:r>
              <w:rPr>
                <w:rFonts w:hint="eastAsia"/>
                <w:sz w:val="21"/>
                <w:szCs w:val="21"/>
              </w:rPr>
              <w:t>人，其中管理人员</w:t>
            </w:r>
            <w:r>
              <w:rPr>
                <w:rFonts w:hint="eastAsia"/>
                <w:sz w:val="21"/>
                <w:szCs w:val="21"/>
                <w:lang w:val="en-US" w:eastAsia="zh-CN"/>
              </w:rPr>
              <w:t>5</w:t>
            </w:r>
            <w:r>
              <w:rPr>
                <w:rFonts w:hint="eastAsia"/>
                <w:sz w:val="21"/>
                <w:szCs w:val="21"/>
              </w:rPr>
              <w:t>人，满足</w:t>
            </w:r>
            <w:r>
              <w:rPr>
                <w:rFonts w:hint="eastAsia"/>
                <w:sz w:val="21"/>
                <w:szCs w:val="21"/>
                <w:lang w:val="en-US" w:eastAsia="zh-CN"/>
              </w:rPr>
              <w:t>生产服务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办公室、生产车间、</w:t>
            </w:r>
            <w:r>
              <w:rPr>
                <w:rFonts w:hint="eastAsia"/>
                <w:sz w:val="21"/>
                <w:szCs w:val="21"/>
              </w:rPr>
              <w:t>库房等基础设施，主要设备</w:t>
            </w:r>
            <w:r>
              <w:rPr>
                <w:rFonts w:hint="eastAsia"/>
                <w:sz w:val="21"/>
                <w:szCs w:val="21"/>
                <w:lang w:eastAsia="zh-CN"/>
              </w:rPr>
              <w:t>：</w:t>
            </w:r>
            <w:r>
              <w:rPr>
                <w:rFonts w:hint="eastAsia" w:ascii="Times New Roman" w:hAnsi="Times New Roman"/>
                <w:sz w:val="21"/>
                <w:szCs w:val="21"/>
                <w:lang w:eastAsia="zh-CN"/>
              </w:rPr>
              <w:t>冲床、电焊机、切割机、折弯机、绞线机</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hint="eastAsia" w:ascii="宋体" w:hAnsi="宋体" w:eastAsia="宋体"/>
                <w:b/>
                <w:color w:val="000000" w:themeColor="text1"/>
                <w:sz w:val="20"/>
                <w:szCs w:val="20"/>
                <w:lang w:val="en-US" w:eastAsia="zh-CN"/>
              </w:rPr>
            </w:pPr>
            <w:r>
              <w:rPr>
                <w:rFonts w:hint="eastAsia" w:ascii="Times New Roman" w:hAnsi="Times New Roman" w:eastAsia="宋体" w:cs="Times New Roman"/>
                <w:szCs w:val="21"/>
                <w:lang w:val="en-US" w:eastAsia="zh-CN"/>
              </w:rPr>
              <w:t>公司</w:t>
            </w:r>
            <w:bookmarkStart w:id="11" w:name="_GoBack"/>
            <w:bookmarkEnd w:id="11"/>
            <w:r>
              <w:rPr>
                <w:rFonts w:hint="default" w:ascii="Times New Roman" w:hAnsi="Times New Roman" w:eastAsia="宋体" w:cs="Times New Roman"/>
                <w:szCs w:val="21"/>
              </w:rPr>
              <w:t>自建办公楼一座，建筑面积450平米，车间</w:t>
            </w:r>
            <w:r>
              <w:rPr>
                <w:rFonts w:hint="eastAsia" w:cs="Times New Roman"/>
                <w:szCs w:val="21"/>
                <w:lang w:val="en-US" w:eastAsia="zh-CN"/>
              </w:rPr>
              <w:t>面积5000平米，包括</w:t>
            </w:r>
            <w:r>
              <w:rPr>
                <w:rFonts w:hint="default" w:ascii="Times New Roman" w:hAnsi="Times New Roman" w:eastAsia="宋体" w:cs="Times New Roman"/>
                <w:szCs w:val="21"/>
              </w:rPr>
              <w:t>：</w:t>
            </w:r>
            <w:r>
              <w:rPr>
                <w:rFonts w:hint="eastAsia" w:cs="Times New Roman"/>
                <w:sz w:val="21"/>
                <w:szCs w:val="21"/>
                <w:lang w:val="en-US" w:eastAsia="zh-CN"/>
              </w:rPr>
              <w:t>管材</w:t>
            </w:r>
            <w:r>
              <w:rPr>
                <w:rFonts w:hint="default" w:ascii="Times New Roman" w:hAnsi="Times New Roman" w:eastAsia="宋体" w:cs="Times New Roman"/>
                <w:sz w:val="21"/>
                <w:szCs w:val="21"/>
              </w:rPr>
              <w:t>车间、机加车间、</w:t>
            </w:r>
            <w:r>
              <w:rPr>
                <w:rFonts w:hint="eastAsia" w:cs="Times New Roman"/>
                <w:sz w:val="21"/>
                <w:szCs w:val="21"/>
                <w:lang w:val="en-US" w:eastAsia="zh-CN"/>
              </w:rPr>
              <w:t>钢绞线</w:t>
            </w:r>
            <w:r>
              <w:rPr>
                <w:rFonts w:hint="default" w:ascii="Times New Roman" w:hAnsi="Times New Roman" w:eastAsia="宋体" w:cs="Times New Roman"/>
                <w:sz w:val="21"/>
                <w:szCs w:val="21"/>
              </w:rPr>
              <w:t>车间</w:t>
            </w:r>
            <w:r>
              <w:rPr>
                <w:rFonts w:hint="default" w:ascii="Times New Roman" w:hAnsi="Times New Roman" w:eastAsia="宋体" w:cs="Times New Roman"/>
                <w:szCs w:val="21"/>
              </w:rPr>
              <w:t>等</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布局合理，场所卫生干净整洁，工作环境良好</w:t>
            </w:r>
            <w:r>
              <w:rPr>
                <w:rFonts w:hint="eastAsia" w:ascii="Times New Roman" w:hAnsi="Times New Roman" w:eastAsia="宋体"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公司对法律法规及其他要求进行了获取，包括环境保护法、劳动法、消防法、环境空气质量标准、固体废弃物环境防治法、仓库防火安全管理规则、</w:t>
            </w:r>
            <w:r>
              <w:rPr>
                <w:rFonts w:hint="eastAsia"/>
                <w:lang w:eastAsia="zh-CN"/>
              </w:rPr>
              <w:t>DB11/501-2007《大气污染物综合排放标准》、GB12348-2008《工业企业厂界环境噪声排放标准》</w:t>
            </w:r>
            <w:r>
              <w:rPr>
                <w:rFonts w:hint="eastAsia" w:ascii="宋体" w:hAnsi="宋体"/>
                <w:sz w:val="21"/>
                <w:szCs w:val="21"/>
                <w:u w:val="none"/>
                <w:lang w:eastAsia="zh-CN"/>
              </w:rPr>
              <w:t>、</w:t>
            </w:r>
            <w:r>
              <w:rPr>
                <w:rFonts w:hint="eastAsia"/>
                <w:sz w:val="21"/>
                <w:szCs w:val="21"/>
              </w:rPr>
              <w:t>GB/T24001-2016等法规要求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6"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numPr>
                <w:ilvl w:val="0"/>
                <w:numId w:val="4"/>
              </w:numPr>
              <w:rPr>
                <w:rFonts w:hint="eastAsia"/>
                <w:sz w:val="21"/>
                <w:szCs w:val="21"/>
                <w:lang w:val="en-US" w:eastAsia="zh-CN"/>
              </w:rPr>
            </w:pPr>
            <w:r>
              <w:rPr>
                <w:rFonts w:hint="eastAsia" w:cs="宋体"/>
              </w:rPr>
              <w:t>管理方针：减少污染、节能降耗、遵纪守法、持续改进</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8"/>
                <w:sz w:val="20"/>
                <w:szCs w:val="20"/>
              </w:rPr>
            </w:pPr>
            <w:r>
              <w:rPr>
                <w:rFonts w:hint="eastAsia"/>
                <w:b/>
                <w:color w:val="000000" w:themeColor="text1"/>
                <w:sz w:val="20"/>
                <w:szCs w:val="20"/>
                <w:lang w:val="en-US" w:eastAsia="zh-CN"/>
              </w:rPr>
              <w:t>3</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sz w:val="21"/>
                <w:szCs w:val="21"/>
              </w:rPr>
              <w:t>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lang w:val="en-US" w:eastAsia="zh-CN"/>
              </w:rPr>
              <w:t>办公室</w:t>
            </w:r>
            <w:r>
              <w:rPr>
                <w:rFonts w:hint="eastAsia"/>
                <w:sz w:val="21"/>
                <w:szCs w:val="21"/>
              </w:rPr>
              <w:t>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w:t>
            </w:r>
            <w:r>
              <w:rPr>
                <w:rFonts w:hint="eastAsia"/>
                <w:sz w:val="21"/>
                <w:szCs w:val="21"/>
                <w:lang w:val="en-US" w:eastAsia="zh-CN"/>
              </w:rPr>
              <w:t>噪声、废气、</w:t>
            </w:r>
            <w:r>
              <w:rPr>
                <w:rFonts w:hint="eastAsia"/>
                <w:sz w:val="21"/>
                <w:szCs w:val="21"/>
              </w:rPr>
              <w:t>相关方施加影响等。</w:t>
            </w:r>
            <w:r>
              <w:rPr>
                <w:rFonts w:hint="eastAsia"/>
                <w:sz w:val="21"/>
                <w:szCs w:val="21"/>
                <w:lang w:val="en-US" w:eastAsia="zh-CN"/>
              </w:rPr>
              <w:t>提供有环境检测报告、固废处置记录、相关方告知书及发放记录，未提供对产品运输外包方施加环境方面影响的证据。</w:t>
            </w:r>
            <w:r>
              <w:rPr>
                <w:rFonts w:hint="eastAsia"/>
                <w:sz w:val="21"/>
                <w:szCs w:val="21"/>
              </w:rPr>
              <w:t>查看办公区域干净整洁，</w:t>
            </w:r>
            <w:r>
              <w:rPr>
                <w:rFonts w:hint="eastAsia"/>
                <w:sz w:val="21"/>
                <w:szCs w:val="21"/>
                <w:lang w:val="en-US" w:eastAsia="zh-CN"/>
              </w:rPr>
              <w:t>配有灭火器</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0"/>
                <w:szCs w:val="20"/>
              </w:rPr>
            </w:pPr>
            <w:r>
              <w:rPr>
                <w:rFonts w:hint="eastAsia"/>
                <w:sz w:val="21"/>
                <w:szCs w:val="21"/>
                <w:lang w:val="en-GB"/>
              </w:rPr>
              <w:t>编制应急准备和响应控制程序，识别的潜在意外紧急情况为火灾等。编制了应急预案，组织了消防演练，提供了应急预案演练记录。对应急预案进行了评价，可行。</w:t>
            </w:r>
            <w:r>
              <w:rPr>
                <w:rFonts w:hint="eastAsia"/>
                <w:sz w:val="21"/>
                <w:szCs w:val="21"/>
                <w:lang w:val="en-US" w:eastAsia="zh-CN"/>
              </w:rPr>
              <w:t>办公区域、车间</w:t>
            </w:r>
            <w:r>
              <w:rPr>
                <w:rFonts w:hint="eastAsia"/>
                <w:sz w:val="21"/>
                <w:szCs w:val="21"/>
              </w:rPr>
              <w:t>配置灭火器等消防设施</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 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lang w:val="en-US" w:eastAsia="zh-CN"/>
              </w:rPr>
            </w:pPr>
            <w:r>
              <w:rPr>
                <w:rFonts w:hint="eastAsia"/>
                <w:b/>
                <w:color w:val="000000" w:themeColor="text1"/>
                <w:sz w:val="20"/>
                <w:szCs w:val="20"/>
                <w:lang w:val="en-US" w:eastAsia="zh-CN"/>
              </w:rPr>
              <w:t>7</w:t>
            </w:r>
            <w:r>
              <w:rPr>
                <w:rFonts w:hint="eastAsia"/>
                <w:b/>
                <w:color w:val="000000" w:themeColor="text1"/>
                <w:sz w:val="20"/>
                <w:szCs w:val="20"/>
              </w:rPr>
              <w:t xml:space="preserve">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val="en-US" w:eastAsia="zh-CN"/>
              </w:rPr>
              <w:t>季度</w:t>
            </w:r>
            <w:r>
              <w:rPr>
                <w:rFonts w:hint="eastAsia"/>
                <w:sz w:val="21"/>
                <w:szCs w:val="21"/>
              </w:rPr>
              <w:t>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2</w:t>
            </w:r>
            <w:r>
              <w:rPr>
                <w:rFonts w:hint="eastAsia"/>
                <w:b/>
                <w:color w:val="000000" w:themeColor="text1"/>
                <w:sz w:val="20"/>
                <w:szCs w:val="20"/>
              </w:rPr>
              <w:t>.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20年12月15-16日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lang w:val="en-US" w:eastAsia="zh-CN"/>
              </w:rPr>
              <w:t>12</w:t>
            </w:r>
            <w:r>
              <w:rPr>
                <w:rFonts w:hint="eastAsia" w:cs="宋体"/>
              </w:rPr>
              <w:t>月</w:t>
            </w:r>
            <w:r>
              <w:rPr>
                <w:rFonts w:hint="eastAsia"/>
                <w:lang w:val="en-US" w:eastAsia="zh-CN"/>
              </w:rPr>
              <w:t>30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提供2020年5月29日由河北华普环境检测有限公司对噪声、废气的检测，检测结论达标，报告编号：HP20051510，详见附件.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5.</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cs="Times New Roman"/>
                <w:szCs w:val="22"/>
                <w:lang w:val="en-US" w:eastAsia="zh-CN"/>
              </w:rPr>
              <w:t>提供</w:t>
            </w:r>
            <w:r>
              <w:rPr>
                <w:rFonts w:hint="eastAsia" w:ascii="Times New Roman" w:hAnsi="Times New Roman" w:cs="Times New Roman"/>
                <w:szCs w:val="22"/>
                <w:lang w:val="en-US" w:eastAsia="zh-CN"/>
              </w:rPr>
              <w:t>建设项目环境影响报告</w:t>
            </w:r>
            <w:r>
              <w:rPr>
                <w:rFonts w:hint="eastAsia" w:cs="Times New Roman"/>
                <w:szCs w:val="22"/>
                <w:lang w:val="en-US" w:eastAsia="zh-CN"/>
              </w:rPr>
              <w:t>表</w:t>
            </w:r>
            <w:r>
              <w:rPr>
                <w:rFonts w:hint="eastAsia" w:ascii="Times New Roman" w:hAnsi="Times New Roman" w:cs="Times New Roman"/>
                <w:szCs w:val="22"/>
                <w:lang w:val="en-US" w:eastAsia="zh-CN"/>
              </w:rPr>
              <w:t>、</w:t>
            </w:r>
            <w:r>
              <w:rPr>
                <w:rFonts w:hint="eastAsia" w:cs="Times New Roman"/>
                <w:szCs w:val="22"/>
                <w:lang w:val="en-US" w:eastAsia="zh-CN"/>
              </w:rPr>
              <w:t>环保局审批意见、验收</w:t>
            </w:r>
            <w:r>
              <w:rPr>
                <w:rFonts w:hint="eastAsia" w:ascii="Times New Roman" w:hAnsi="Times New Roman" w:cs="Times New Roman"/>
                <w:szCs w:val="22"/>
                <w:lang w:val="en-US" w:eastAsia="zh-CN"/>
              </w:rPr>
              <w:t>报告、</w:t>
            </w:r>
            <w:r>
              <w:rPr>
                <w:rFonts w:hint="eastAsia" w:cs="Times New Roman"/>
                <w:szCs w:val="22"/>
                <w:lang w:val="en-US" w:eastAsia="zh-CN"/>
              </w:rPr>
              <w:t>验收意见、公示证明</w:t>
            </w:r>
            <w:r>
              <w:rPr>
                <w:rFonts w:hint="eastAsia" w:cs="Times New Roman"/>
                <w:szCs w:val="22"/>
                <w:lang w:eastAsia="zh-CN"/>
              </w:rPr>
              <w:t>，</w:t>
            </w:r>
            <w:r>
              <w:rPr>
                <w:rFonts w:hint="eastAsia" w:cs="Times New Roman"/>
                <w:szCs w:val="22"/>
                <w:lang w:val="en-US" w:eastAsia="zh-CN"/>
              </w:rPr>
              <w:t>详见附件</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已完成</w:t>
            </w:r>
            <w:r>
              <w:rPr>
                <w:rFonts w:hint="eastAsia"/>
                <w:sz w:val="21"/>
                <w:szCs w:val="21"/>
              </w:rPr>
              <w:t>。</w:t>
            </w:r>
            <w:r>
              <w:rPr>
                <w:rFonts w:hint="eastAsia"/>
                <w:sz w:val="21"/>
                <w:szCs w:val="21"/>
                <w:lang w:eastAsia="zh-CN"/>
              </w:rPr>
              <w:t>纠正措施尚可。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5"/>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0"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供销部8.1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p>
        </w:tc>
      </w:tr>
    </w:tbl>
    <w:p>
      <w:pPr>
        <w:snapToGrid w:val="0"/>
        <w:spacing w:line="360" w:lineRule="auto"/>
        <w:ind w:left="364" w:leftChars="-472" w:hanging="1355" w:hangingChars="519"/>
        <w:rPr>
          <w:rFonts w:hint="eastAsia"/>
          <w:b/>
          <w:color w:val="000000" w:themeColor="text1"/>
          <w:sz w:val="26"/>
          <w:szCs w:val="26"/>
        </w:rPr>
      </w:pPr>
    </w:p>
    <w:p>
      <w:pPr>
        <w:snapToGrid w:val="0"/>
        <w:spacing w:line="360" w:lineRule="auto"/>
        <w:ind w:left="364" w:leftChars="-472" w:hanging="1355" w:hangingChars="519"/>
        <w:rPr>
          <w:rFonts w:hint="eastAsia"/>
          <w:b/>
          <w:color w:val="000000" w:themeColor="text1"/>
          <w:sz w:val="26"/>
          <w:szCs w:val="26"/>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pStyle w:val="18"/>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sz w:val="21"/>
                <w:szCs w:val="21"/>
                <w:u w:val="single"/>
                <w:lang w:eastAsia="zh-CN"/>
              </w:rPr>
              <w:t>任丘市红河邮电器材有限公司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8"/>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lang w:eastAsia="zh-CN"/>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lang w:eastAsia="zh-CN"/>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8"/>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ascii="宋体" w:hAnsi="宋体"/>
                <w:szCs w:val="21"/>
              </w:rPr>
            </w:pPr>
            <w:r>
              <w:rPr>
                <w:rFonts w:hint="eastAsia" w:ascii="宋体" w:hAnsi="宋体"/>
                <w:szCs w:val="21"/>
              </w:rPr>
              <w:t>线路铁件、钢绞线、机箱机柜的生产所涉及场所的相关环境管理活动</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b/>
          <w:color w:val="000000" w:themeColor="text1"/>
          <w:sz w:val="26"/>
          <w:szCs w:val="26"/>
        </w:rPr>
      </w:pPr>
    </w:p>
    <w:p>
      <w:pPr>
        <w:spacing w:before="156" w:beforeLines="50" w:after="156" w:afterLines="50"/>
        <w:ind w:left="1" w:leftChars="-405" w:hanging="851" w:hangingChars="326"/>
        <w:rPr>
          <w:rFonts w:hint="default"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Times New Roman" w:hAnsi="Times New Roman" w:cs="Times New Roman"/>
          <w:b/>
          <w:color w:val="000000" w:themeColor="text1"/>
          <w:sz w:val="26"/>
          <w:szCs w:val="26"/>
        </w:rPr>
        <w:t>任何影响审核方案的重要事项</w:t>
      </w:r>
      <w:r>
        <w:rPr>
          <w:rFonts w:hint="eastAsia" w:cs="Times New Roman"/>
          <w:b/>
          <w:color w:val="000000" w:themeColor="text1"/>
          <w:sz w:val="26"/>
          <w:szCs w:val="26"/>
          <w:lang w:eastAsia="zh-CN"/>
        </w:rPr>
        <w:t>：</w:t>
      </w:r>
      <w:r>
        <w:rPr>
          <w:rFonts w:hint="eastAsia" w:cs="Times New Roman"/>
          <w:b w:val="0"/>
          <w:bCs/>
          <w:color w:val="000000" w:themeColor="text1"/>
          <w:sz w:val="21"/>
          <w:szCs w:val="21"/>
          <w:lang w:val="en-US" w:eastAsia="zh-CN"/>
        </w:rPr>
        <w:t>远程审核，审核发现受限。</w:t>
      </w:r>
    </w:p>
    <w:p>
      <w:pPr>
        <w:snapToGrid w:val="0"/>
        <w:rPr>
          <w:b/>
          <w:bCs/>
          <w:color w:val="000000" w:themeColor="text1"/>
          <w:szCs w:val="28"/>
          <w:u w:val="single"/>
        </w:rPr>
      </w:pPr>
    </w:p>
    <w:p>
      <w:pPr>
        <w:snapToGrid w:val="0"/>
        <w:spacing w:after="156" w:afterLines="50" w:line="360" w:lineRule="auto"/>
        <w:ind w:left="1" w:leftChars="-405" w:hanging="851" w:hangingChars="326"/>
        <w:rPr>
          <w:rFonts w:hint="eastAsia"/>
          <w:b/>
          <w:color w:val="000000" w:themeColor="text1"/>
          <w:sz w:val="26"/>
          <w:szCs w:val="26"/>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2336" behindDoc="0" locked="0" layoutInCell="1" allowOverlap="1">
            <wp:simplePos x="0" y="0"/>
            <wp:positionH relativeFrom="column">
              <wp:posOffset>1473200</wp:posOffset>
            </wp:positionH>
            <wp:positionV relativeFrom="paragraph">
              <wp:posOffset>127635</wp:posOffset>
            </wp:positionV>
            <wp:extent cx="1195070" cy="575310"/>
            <wp:effectExtent l="0" t="0" r="0" b="9525"/>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195070" cy="57531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b/>
          <w:color w:val="000000" w:themeColor="text1"/>
          <w:sz w:val="26"/>
          <w:szCs w:val="26"/>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w:t>
      </w:r>
    </w:p>
    <w:p>
      <w:pPr>
        <w:snapToGrid w:val="0"/>
        <w:spacing w:line="360" w:lineRule="auto"/>
        <w:ind w:firstLine="4554" w:firstLineChars="21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b w:val="0"/>
          <w:bCs/>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rFonts w:hint="eastAsia"/>
          <w:b/>
          <w:color w:val="000000" w:themeColor="text1"/>
          <w:szCs w:val="21"/>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napToGrid w:val="0"/>
        <w:spacing w:before="156" w:beforeLines="50" w:after="156" w:afterLines="50" w:line="360" w:lineRule="auto"/>
        <w:rPr>
          <w:rFonts w:hint="eastAsia"/>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napToGrid w:val="0"/>
        <w:spacing w:before="156" w:beforeLines="50" w:after="156" w:afterLines="50"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eastAsia"/>
          <w:b/>
          <w:color w:val="000000" w:themeColor="text1"/>
          <w:szCs w:val="21"/>
        </w:rPr>
        <w:drawing>
          <wp:anchor distT="0" distB="0" distL="114300" distR="114300" simplePos="0" relativeHeight="251663360" behindDoc="0" locked="0" layoutInCell="1" allowOverlap="1">
            <wp:simplePos x="0" y="0"/>
            <wp:positionH relativeFrom="column">
              <wp:posOffset>582930</wp:posOffset>
            </wp:positionH>
            <wp:positionV relativeFrom="paragraph">
              <wp:posOffset>322580</wp:posOffset>
            </wp:positionV>
            <wp:extent cx="1272540" cy="612775"/>
            <wp:effectExtent l="0" t="0" r="0" b="1016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272540" cy="612775"/>
                    </a:xfrm>
                    <a:prstGeom prst="rect">
                      <a:avLst/>
                    </a:prstGeom>
                  </pic:spPr>
                </pic:pic>
              </a:graphicData>
            </a:graphic>
          </wp:anchor>
        </w:drawing>
      </w:r>
    </w:p>
    <w:p>
      <w:pPr>
        <w:spacing w:before="312" w:beforeLines="100" w:after="156" w:afterLines="50"/>
        <w:rPr>
          <w:rFonts w:hint="eastAsia"/>
          <w:b/>
          <w:color w:val="000000" w:themeColor="text1"/>
        </w:rPr>
      </w:pP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3</w:t>
      </w:r>
      <w:r>
        <w:rPr>
          <w:rFonts w:hint="eastAsia"/>
          <w:b/>
          <w:color w:val="000000" w:themeColor="text1"/>
          <w:szCs w:val="21"/>
        </w:rPr>
        <w:t>月</w:t>
      </w:r>
      <w:r>
        <w:rPr>
          <w:rFonts w:hint="eastAsia"/>
          <w:b/>
          <w:color w:val="000000" w:themeColor="text1"/>
          <w:szCs w:val="21"/>
          <w:lang w:val="en-US" w:eastAsia="zh-CN"/>
        </w:rPr>
        <w:t>11</w:t>
      </w:r>
      <w:r>
        <w:rPr>
          <w:rFonts w:hint="eastAsia"/>
          <w:b/>
          <w:color w:val="000000" w:themeColor="text1"/>
          <w:szCs w:val="21"/>
        </w:rPr>
        <w:t>日</w:t>
      </w: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rFonts w:hint="eastAsia"/>
          <w:b/>
          <w:color w:val="000000" w:themeColor="text1"/>
          <w:sz w:val="26"/>
          <w:szCs w:val="26"/>
        </w:rPr>
      </w:pPr>
      <w:r>
        <w:rPr>
          <w:rFonts w:hint="eastAsia"/>
          <w:b/>
          <w:color w:val="000000" w:themeColor="text1"/>
          <w:sz w:val="26"/>
          <w:szCs w:val="26"/>
        </w:rPr>
        <w:t>十七、与末次会议结论不同处的说明和其他说明(技术委员会填写)</w:t>
      </w: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exact"/>
        <w:rPr>
          <w:rFonts w:hint="eastAsia"/>
          <w:b/>
          <w:color w:val="000000" w:themeColor="text1"/>
          <w:sz w:val="26"/>
          <w:szCs w:val="26"/>
        </w:rPr>
      </w:pPr>
    </w:p>
    <w:p>
      <w:pPr>
        <w:spacing w:line="360" w:lineRule="auto"/>
        <w:ind w:left="202" w:leftChars="-405" w:hanging="1052" w:hangingChars="403"/>
        <w:rPr>
          <w:rFonts w:hint="eastAsia"/>
          <w:b/>
          <w:color w:val="000000" w:themeColor="text1"/>
          <w:sz w:val="26"/>
          <w:szCs w:val="26"/>
        </w:rPr>
      </w:pPr>
      <w:r>
        <w:rPr>
          <w:rFonts w:hint="eastAsia"/>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val="en-US" w:eastAsia="zh-CN"/>
        </w:rPr>
        <w:t xml:space="preserve">         </w:t>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rFonts w:hint="eastAsia"/>
          <w:b/>
          <w:color w:val="000000" w:themeColor="text1"/>
          <w:sz w:val="26"/>
          <w:szCs w:val="26"/>
        </w:rPr>
      </w:pPr>
      <w:r>
        <w:rPr>
          <w:rFonts w:hint="eastAsia"/>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1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EFB11"/>
    <w:multiLevelType w:val="singleLevel"/>
    <w:tmpl w:val="912EFB11"/>
    <w:lvl w:ilvl="0" w:tentative="0">
      <w:start w:val="4"/>
      <w:numFmt w:val="decimal"/>
      <w:lvlText w:val="%1."/>
      <w:lvlJc w:val="left"/>
      <w:pPr>
        <w:tabs>
          <w:tab w:val="left" w:pos="312"/>
        </w:tabs>
      </w:pPr>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058876D9"/>
    <w:multiLevelType w:val="singleLevel"/>
    <w:tmpl w:val="058876D9"/>
    <w:lvl w:ilvl="0" w:tentative="0">
      <w:start w:val="1"/>
      <w:numFmt w:val="decimal"/>
      <w:lvlText w:val="%1."/>
      <w:lvlJc w:val="left"/>
      <w:pPr>
        <w:tabs>
          <w:tab w:val="left" w:pos="312"/>
        </w:tabs>
      </w:p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0745B7"/>
    <w:rsid w:val="19E606C0"/>
    <w:rsid w:val="3C9A0372"/>
    <w:rsid w:val="434127CB"/>
    <w:rsid w:val="60E54F6B"/>
    <w:rsid w:val="63067D25"/>
    <w:rsid w:val="647437DC"/>
    <w:rsid w:val="73291DE8"/>
    <w:rsid w:val="79A52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2021-03-11T02:38:06Z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