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511925" cy="9097010"/>
            <wp:effectExtent l="0" t="0" r="3175" b="8890"/>
            <wp:docPr id="3" name="图片 3" descr="新文档 2021-03-10 09.04.2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3-10 09.04.22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90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石家庄顺通科技有限公司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石家庄高新区郄马镇东佐村村南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任冉冉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17733826829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任冉冉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0016-2020-EO-2021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E：混凝土灌注桩用钢壁声测管、钢筋连接接头的销售及其场所所涉及的相关环境管理活动。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O：混凝土灌注桩用钢壁声测管、钢筋连接接头的销售及其场所所涉及的相关职业健康安全管理活动。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2021年03月10日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2021年03月11日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455295</wp:posOffset>
                  </wp:positionV>
                  <wp:extent cx="1243965" cy="59880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2021.3.8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text" w:horzAnchor="page" w:tblpX="863" w:tblpY="284"/>
        <w:tblOverlap w:val="never"/>
        <w:tblW w:w="10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2021.3.10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组织的岗位、职责权限；目标；环境因素、危险源辨识、风险评价和控制措施的确定；沟通、参与、协商；运行控制；应急准备和响应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2021.3.11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</w:t>
            </w:r>
            <w:bookmarkStart w:id="19" w:name="_GoBack"/>
            <w:bookmarkEnd w:id="19"/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5.3/6.1.2/6.1.3/6.2/8.1/8.2/9.1/9.2/10.2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736984"/>
    <w:rsid w:val="4F9E3329"/>
    <w:rsid w:val="70681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2021-03-16T09:59:04Z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E0A544FADF2D4EE4A8B9B18A9A85872F</vt:lpwstr>
  </property>
</Properties>
</file>