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393"/>
        <w:gridCol w:w="1160"/>
        <w:gridCol w:w="6"/>
        <w:gridCol w:w="567"/>
        <w:gridCol w:w="717"/>
        <w:gridCol w:w="525"/>
        <w:gridCol w:w="75"/>
        <w:gridCol w:w="101"/>
        <w:gridCol w:w="589"/>
        <w:gridCol w:w="261"/>
        <w:gridCol w:w="409"/>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7"/>
            <w:vAlign w:val="center"/>
          </w:tcPr>
          <w:p>
            <w:pPr>
              <w:rPr>
                <w:sz w:val="21"/>
                <w:szCs w:val="21"/>
              </w:rPr>
            </w:pPr>
            <w:bookmarkStart w:id="0" w:name="组织名称"/>
            <w:r>
              <w:rPr>
                <w:sz w:val="21"/>
                <w:szCs w:val="21"/>
              </w:rPr>
              <w:t>山东省国铭输水件橡胶制品有限公司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7"/>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山东省临沂市兰陵县尚岩镇白水牛村山东国铭球墨铸管科技有限公司院内</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赵迎新</w:t>
            </w:r>
            <w:bookmarkEnd w:id="2"/>
          </w:p>
        </w:tc>
        <w:tc>
          <w:tcPr>
            <w:tcW w:w="1695" w:type="dxa"/>
            <w:gridSpan w:val="3"/>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13589088777</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277700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p>
        </w:tc>
        <w:tc>
          <w:tcPr>
            <w:tcW w:w="1695" w:type="dxa"/>
            <w:gridSpan w:val="3"/>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13589088777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0105-2021-E</w:t>
            </w:r>
            <w:bookmarkEnd w:id="8"/>
          </w:p>
        </w:tc>
        <w:tc>
          <w:tcPr>
            <w:tcW w:w="1701" w:type="dxa"/>
            <w:gridSpan w:val="4"/>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7"/>
            <w:vAlign w:val="center"/>
          </w:tcPr>
          <w:p>
            <w:pPr>
              <w:rPr>
                <w:sz w:val="20"/>
              </w:rPr>
            </w:pPr>
            <w:bookmarkStart w:id="12" w:name="审核类型ZB"/>
            <w:r>
              <w:rPr>
                <w:rFonts w:hint="eastAsia" w:ascii="宋体" w:hAnsi="宋体"/>
                <w:b/>
                <w:bCs/>
                <w:sz w:val="20"/>
              </w:rPr>
              <w:t>环境管理体系：初次认证第（二）阶段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7"/>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2"/>
            <w:vAlign w:val="center"/>
          </w:tcPr>
          <w:p>
            <w:pPr>
              <w:rPr>
                <w:sz w:val="20"/>
              </w:rPr>
            </w:pPr>
            <w:bookmarkStart w:id="13" w:name="审核范围"/>
            <w:r>
              <w:rPr>
                <w:sz w:val="20"/>
              </w:rPr>
              <w:t>胶圈的销售所涉及场所的相关环境管理活动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14.01.02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7"/>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GB/T 24001-2016/ISO14001:2015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7"/>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2021年03月01日 上午至2021年03月02日 上午 (共1.5天)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7"/>
            <w:vAlign w:val="center"/>
          </w:tcPr>
          <w:p>
            <w:pPr>
              <w:tabs>
                <w:tab w:val="center" w:pos="4153"/>
                <w:tab w:val="right" w:pos="8306"/>
              </w:tabs>
              <w:snapToGrid w:val="0"/>
              <w:spacing w:line="360" w:lineRule="auto"/>
              <w:rPr>
                <w:b/>
                <w:sz w:val="20"/>
              </w:rPr>
            </w:pPr>
            <w:bookmarkStart w:id="17" w:name="_GoBack"/>
            <w:bookmarkEnd w:id="17"/>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20"/>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486" w:type="dxa"/>
            <w:gridSpan w:val="3"/>
            <w:vAlign w:val="center"/>
          </w:tcPr>
          <w:p>
            <w:pPr>
              <w:jc w:val="center"/>
              <w:rPr>
                <w:sz w:val="20"/>
              </w:rPr>
            </w:pPr>
            <w:r>
              <w:rPr>
                <w:rFonts w:hint="eastAsia"/>
                <w:sz w:val="20"/>
              </w:rPr>
              <w:t>注册资格</w:t>
            </w:r>
          </w:p>
        </w:tc>
        <w:tc>
          <w:tcPr>
            <w:tcW w:w="2450" w:type="dxa"/>
            <w:gridSpan w:val="4"/>
            <w:vAlign w:val="center"/>
          </w:tcPr>
          <w:p>
            <w:pPr>
              <w:jc w:val="center"/>
              <w:rPr>
                <w:sz w:val="20"/>
              </w:rPr>
            </w:pPr>
            <w:r>
              <w:rPr>
                <w:rFonts w:hint="eastAsia"/>
                <w:sz w:val="20"/>
              </w:rPr>
              <w:t>专业代码</w:t>
            </w:r>
          </w:p>
        </w:tc>
        <w:tc>
          <w:tcPr>
            <w:tcW w:w="1960" w:type="dxa"/>
            <w:gridSpan w:val="6"/>
            <w:vAlign w:val="center"/>
          </w:tcPr>
          <w:p>
            <w:pPr>
              <w:jc w:val="center"/>
              <w:rPr>
                <w:sz w:val="20"/>
              </w:rPr>
            </w:pPr>
            <w:r>
              <w:rPr>
                <w:rFonts w:hint="eastAsia"/>
                <w:sz w:val="20"/>
              </w:rPr>
              <w:t>联系电话</w:t>
            </w:r>
          </w:p>
        </w:tc>
        <w:tc>
          <w:tcPr>
            <w:tcW w:w="1340"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周涛</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486" w:type="dxa"/>
            <w:gridSpan w:val="3"/>
            <w:vAlign w:val="center"/>
          </w:tcPr>
          <w:p>
            <w:pPr>
              <w:jc w:val="center"/>
              <w:rPr>
                <w:sz w:val="20"/>
              </w:rPr>
            </w:pPr>
            <w:r>
              <w:rPr>
                <w:sz w:val="20"/>
              </w:rPr>
              <w:t>审核员</w:t>
            </w:r>
          </w:p>
        </w:tc>
        <w:tc>
          <w:tcPr>
            <w:tcW w:w="2450" w:type="dxa"/>
            <w:gridSpan w:val="4"/>
            <w:vAlign w:val="center"/>
          </w:tcPr>
          <w:p>
            <w:pPr>
              <w:jc w:val="center"/>
              <w:rPr>
                <w:sz w:val="20"/>
              </w:rPr>
            </w:pPr>
            <w:r>
              <w:rPr>
                <w:sz w:val="20"/>
              </w:rPr>
              <w:t>14.01.02</w:t>
            </w:r>
          </w:p>
        </w:tc>
        <w:tc>
          <w:tcPr>
            <w:tcW w:w="1960" w:type="dxa"/>
            <w:gridSpan w:val="6"/>
            <w:vAlign w:val="center"/>
          </w:tcPr>
          <w:p>
            <w:pPr>
              <w:jc w:val="center"/>
              <w:rPr>
                <w:sz w:val="20"/>
              </w:rPr>
            </w:pPr>
            <w:r>
              <w:rPr>
                <w:sz w:val="20"/>
              </w:rPr>
              <w:t>13863734938</w:t>
            </w:r>
          </w:p>
        </w:tc>
        <w:tc>
          <w:tcPr>
            <w:tcW w:w="1340" w:type="dxa"/>
            <w:vAlign w:val="center"/>
          </w:tcPr>
          <w:p>
            <w:pPr>
              <w:jc w:val="center"/>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3"/>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p>
        </w:tc>
        <w:tc>
          <w:tcPr>
            <w:tcW w:w="1134" w:type="dxa"/>
            <w:gridSpan w:val="3"/>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tbl>
      <w:tblPr>
        <w:tblStyle w:val="5"/>
        <w:tblW w:w="1021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84"/>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218"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73"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284"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073"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2021.3.1</w:t>
            </w:r>
          </w:p>
        </w:tc>
        <w:tc>
          <w:tcPr>
            <w:tcW w:w="1284" w:type="dxa"/>
            <w:vAlign w:val="center"/>
          </w:tcPr>
          <w:p>
            <w:pPr>
              <w:rPr>
                <w:b/>
                <w:sz w:val="20"/>
              </w:rPr>
            </w:pPr>
            <w:r>
              <w:rPr>
                <w:rFonts w:hint="eastAsia"/>
                <w:sz w:val="21"/>
                <w:szCs w:val="21"/>
                <w:lang w:val="en-US" w:eastAsia="zh-CN"/>
              </w:rPr>
              <w:t>8</w:t>
            </w:r>
            <w:r>
              <w:rPr>
                <w:rFonts w:hint="eastAsia"/>
                <w:sz w:val="21"/>
                <w:szCs w:val="21"/>
              </w:rPr>
              <w:t>:</w:t>
            </w:r>
            <w:r>
              <w:rPr>
                <w:rFonts w:hint="eastAsia"/>
                <w:sz w:val="21"/>
                <w:szCs w:val="21"/>
                <w:lang w:val="en-US" w:eastAsia="zh-CN"/>
              </w:rPr>
              <w:t>0</w:t>
            </w:r>
            <w:r>
              <w:rPr>
                <w:rFonts w:hint="eastAsia"/>
                <w:sz w:val="21"/>
                <w:szCs w:val="21"/>
              </w:rPr>
              <w:t>0-</w:t>
            </w:r>
            <w:r>
              <w:rPr>
                <w:rFonts w:hint="eastAsia"/>
                <w:sz w:val="21"/>
                <w:szCs w:val="21"/>
                <w:lang w:val="en-US" w:eastAsia="zh-CN"/>
              </w:rPr>
              <w:t>8</w:t>
            </w:r>
            <w:r>
              <w:rPr>
                <w:rFonts w:hint="eastAsia"/>
                <w:sz w:val="21"/>
                <w:szCs w:val="21"/>
              </w:rPr>
              <w:t>:</w:t>
            </w:r>
            <w:r>
              <w:rPr>
                <w:rFonts w:hint="eastAsia"/>
                <w:sz w:val="21"/>
                <w:szCs w:val="21"/>
                <w:lang w:val="en-US" w:eastAsia="zh-CN"/>
              </w:rPr>
              <w:t>3</w:t>
            </w:r>
            <w:r>
              <w:rPr>
                <w:rFonts w:hint="eastAsia"/>
                <w:sz w:val="21"/>
                <w:szCs w:val="21"/>
              </w:rPr>
              <w:t>0</w:t>
            </w:r>
          </w:p>
        </w:tc>
        <w:tc>
          <w:tcPr>
            <w:tcW w:w="6665" w:type="dxa"/>
            <w:vAlign w:val="center"/>
          </w:tcPr>
          <w:p>
            <w:pPr>
              <w:snapToGrid w:val="0"/>
              <w:spacing w:line="280" w:lineRule="exact"/>
              <w:jc w:val="left"/>
              <w:rPr>
                <w:rFonts w:hint="eastAsia" w:eastAsia="宋体"/>
                <w:b/>
                <w:sz w:val="20"/>
                <w:lang w:val="en-US" w:eastAsia="zh-CN"/>
              </w:rPr>
            </w:pPr>
            <w:r>
              <w:rPr>
                <w:rFonts w:hint="eastAsia"/>
                <w:b/>
                <w:sz w:val="20"/>
                <w:lang w:val="en-US" w:eastAsia="zh-CN"/>
              </w:rPr>
              <w:t>首次会议（管理层及各部门负责人）</w:t>
            </w:r>
          </w:p>
        </w:tc>
        <w:tc>
          <w:tcPr>
            <w:tcW w:w="1196" w:type="dxa"/>
            <w:tcBorders>
              <w:right w:val="single" w:color="auto" w:sz="8" w:space="0"/>
            </w:tcBorders>
            <w:vAlign w:val="center"/>
          </w:tcPr>
          <w:p>
            <w:pPr>
              <w:snapToGrid w:val="0"/>
              <w:spacing w:line="280" w:lineRule="exact"/>
              <w:jc w:val="left"/>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trPr>
        <w:tc>
          <w:tcPr>
            <w:tcW w:w="1073" w:type="dxa"/>
            <w:tcBorders>
              <w:left w:val="single" w:color="auto" w:sz="8" w:space="0"/>
            </w:tcBorders>
            <w:vAlign w:val="center"/>
          </w:tcPr>
          <w:p>
            <w:pPr>
              <w:snapToGrid w:val="0"/>
              <w:spacing w:line="280" w:lineRule="exact"/>
              <w:jc w:val="left"/>
              <w:rPr>
                <w:b/>
                <w:sz w:val="20"/>
              </w:rPr>
            </w:pPr>
          </w:p>
        </w:tc>
        <w:tc>
          <w:tcPr>
            <w:tcW w:w="1284" w:type="dxa"/>
            <w:vAlign w:val="center"/>
          </w:tcPr>
          <w:p>
            <w:pPr>
              <w:rPr>
                <w:b/>
                <w:sz w:val="20"/>
              </w:rPr>
            </w:pPr>
            <w:r>
              <w:rPr>
                <w:rFonts w:hint="eastAsia"/>
                <w:sz w:val="21"/>
                <w:szCs w:val="21"/>
                <w:lang w:val="en-US" w:eastAsia="zh-CN"/>
              </w:rPr>
              <w:t>8</w:t>
            </w:r>
            <w:r>
              <w:rPr>
                <w:rFonts w:hint="eastAsia"/>
                <w:sz w:val="21"/>
                <w:szCs w:val="21"/>
              </w:rPr>
              <w:t>:</w:t>
            </w:r>
            <w:r>
              <w:rPr>
                <w:rFonts w:hint="eastAsia"/>
                <w:sz w:val="21"/>
                <w:szCs w:val="21"/>
                <w:lang w:val="en-US" w:eastAsia="zh-CN"/>
              </w:rPr>
              <w:t>3</w:t>
            </w:r>
            <w:r>
              <w:rPr>
                <w:rFonts w:hint="eastAsia"/>
                <w:sz w:val="21"/>
                <w:szCs w:val="21"/>
              </w:rPr>
              <w:t>0-1</w:t>
            </w:r>
            <w:r>
              <w:rPr>
                <w:rFonts w:hint="eastAsia"/>
                <w:sz w:val="21"/>
                <w:szCs w:val="21"/>
                <w:lang w:val="en-US" w:eastAsia="zh-CN"/>
              </w:rPr>
              <w:t>2</w:t>
            </w:r>
            <w:r>
              <w:rPr>
                <w:rFonts w:hint="eastAsia"/>
                <w:sz w:val="21"/>
                <w:szCs w:val="21"/>
              </w:rPr>
              <w:t>:</w:t>
            </w:r>
            <w:r>
              <w:rPr>
                <w:rFonts w:hint="eastAsia"/>
                <w:sz w:val="21"/>
                <w:szCs w:val="21"/>
                <w:lang w:val="en-US" w:eastAsia="zh-CN"/>
              </w:rPr>
              <w:t>0</w:t>
            </w:r>
            <w:r>
              <w:rPr>
                <w:rFonts w:hint="eastAsia"/>
                <w:sz w:val="21"/>
                <w:szCs w:val="21"/>
              </w:rPr>
              <w:t>0</w:t>
            </w:r>
          </w:p>
        </w:tc>
        <w:tc>
          <w:tcPr>
            <w:tcW w:w="6665" w:type="dxa"/>
            <w:vAlign w:val="center"/>
          </w:tcPr>
          <w:p>
            <w:pPr>
              <w:snapToGrid w:val="0"/>
              <w:spacing w:line="280" w:lineRule="exact"/>
              <w:jc w:val="left"/>
              <w:rPr>
                <w:rFonts w:hint="eastAsia"/>
                <w:sz w:val="21"/>
                <w:szCs w:val="21"/>
              </w:rPr>
            </w:pPr>
            <w:r>
              <w:rPr>
                <w:rFonts w:hint="eastAsia"/>
                <w:b/>
                <w:bCs/>
                <w:sz w:val="21"/>
                <w:szCs w:val="21"/>
                <w:lang w:val="en-US" w:eastAsia="zh-CN"/>
              </w:rPr>
              <w:t>管理层</w:t>
            </w:r>
            <w:r>
              <w:rPr>
                <w:rFonts w:hint="eastAsia"/>
                <w:sz w:val="21"/>
                <w:szCs w:val="21"/>
                <w:lang w:val="en-US" w:eastAsia="zh-CN"/>
              </w:rPr>
              <w:t>：</w:t>
            </w:r>
            <w:r>
              <w:rPr>
                <w:rFonts w:hint="eastAsia"/>
                <w:sz w:val="21"/>
                <w:szCs w:val="21"/>
              </w:rPr>
              <w:t>组织及其环境</w:t>
            </w:r>
            <w:r>
              <w:rPr>
                <w:rFonts w:hint="eastAsia"/>
                <w:sz w:val="21"/>
                <w:szCs w:val="21"/>
                <w:lang w:eastAsia="zh-CN"/>
              </w:rPr>
              <w:t>；</w:t>
            </w:r>
            <w:r>
              <w:rPr>
                <w:rFonts w:hint="eastAsia"/>
                <w:sz w:val="21"/>
                <w:szCs w:val="21"/>
              </w:rPr>
              <w:t>相关方的需求和希望</w:t>
            </w:r>
            <w:r>
              <w:rPr>
                <w:rFonts w:hint="eastAsia"/>
                <w:sz w:val="21"/>
                <w:szCs w:val="21"/>
                <w:lang w:eastAsia="zh-CN"/>
              </w:rPr>
              <w:t>；</w:t>
            </w:r>
            <w:r>
              <w:rPr>
                <w:rFonts w:hint="eastAsia"/>
                <w:sz w:val="21"/>
                <w:szCs w:val="21"/>
              </w:rPr>
              <w:t>管理体系的范围</w:t>
            </w:r>
            <w:r>
              <w:rPr>
                <w:rFonts w:hint="eastAsia"/>
                <w:sz w:val="21"/>
                <w:szCs w:val="21"/>
                <w:lang w:eastAsia="zh-CN"/>
              </w:rPr>
              <w:t>；</w:t>
            </w:r>
            <w:r>
              <w:rPr>
                <w:rFonts w:hint="eastAsia"/>
                <w:sz w:val="21"/>
                <w:szCs w:val="21"/>
              </w:rPr>
              <w:t>管理体系及其过程</w:t>
            </w:r>
            <w:r>
              <w:rPr>
                <w:rFonts w:hint="eastAsia"/>
                <w:sz w:val="21"/>
                <w:szCs w:val="21"/>
                <w:lang w:eastAsia="zh-CN"/>
              </w:rPr>
              <w:t>；</w:t>
            </w:r>
            <w:r>
              <w:rPr>
                <w:rFonts w:hint="eastAsia"/>
                <w:sz w:val="21"/>
                <w:szCs w:val="21"/>
              </w:rPr>
              <w:t>管理承诺总则</w:t>
            </w:r>
            <w:r>
              <w:rPr>
                <w:rFonts w:hint="eastAsia"/>
                <w:sz w:val="21"/>
                <w:szCs w:val="21"/>
                <w:lang w:eastAsia="zh-CN"/>
              </w:rPr>
              <w:t>；</w:t>
            </w:r>
            <w:r>
              <w:rPr>
                <w:rFonts w:hint="eastAsia"/>
                <w:sz w:val="21"/>
                <w:szCs w:val="21"/>
              </w:rPr>
              <w:t>以顾客为关注焦点</w:t>
            </w:r>
            <w:r>
              <w:rPr>
                <w:rFonts w:hint="eastAsia"/>
                <w:sz w:val="21"/>
                <w:szCs w:val="21"/>
                <w:lang w:eastAsia="zh-CN"/>
              </w:rPr>
              <w:t>；</w:t>
            </w:r>
            <w:r>
              <w:rPr>
                <w:rFonts w:hint="eastAsia"/>
                <w:sz w:val="21"/>
                <w:szCs w:val="21"/>
              </w:rPr>
              <w:t>方针</w:t>
            </w:r>
            <w:r>
              <w:rPr>
                <w:rFonts w:hint="eastAsia"/>
                <w:sz w:val="21"/>
                <w:szCs w:val="21"/>
                <w:lang w:eastAsia="zh-CN"/>
              </w:rPr>
              <w:t>、</w:t>
            </w:r>
            <w:r>
              <w:rPr>
                <w:rFonts w:hint="eastAsia"/>
                <w:sz w:val="21"/>
                <w:szCs w:val="21"/>
                <w:lang w:val="en-US" w:eastAsia="zh-CN"/>
              </w:rPr>
              <w:t>目标</w:t>
            </w:r>
            <w:r>
              <w:rPr>
                <w:rFonts w:hint="eastAsia"/>
                <w:sz w:val="21"/>
                <w:szCs w:val="21"/>
                <w:lang w:eastAsia="zh-CN"/>
              </w:rPr>
              <w:t>；</w:t>
            </w:r>
            <w:r>
              <w:rPr>
                <w:rFonts w:hint="eastAsia"/>
                <w:sz w:val="21"/>
                <w:szCs w:val="21"/>
              </w:rPr>
              <w:t>组织的岗位、职责权限</w:t>
            </w:r>
            <w:r>
              <w:rPr>
                <w:rFonts w:hint="eastAsia"/>
                <w:sz w:val="21"/>
                <w:szCs w:val="21"/>
                <w:lang w:eastAsia="zh-CN"/>
              </w:rPr>
              <w:t>；</w:t>
            </w:r>
            <w:r>
              <w:rPr>
                <w:rFonts w:hint="eastAsia"/>
                <w:sz w:val="21"/>
                <w:szCs w:val="21"/>
              </w:rPr>
              <w:t>应对风险和机会的策划</w:t>
            </w:r>
            <w:r>
              <w:rPr>
                <w:rFonts w:hint="eastAsia"/>
                <w:sz w:val="21"/>
                <w:szCs w:val="21"/>
                <w:lang w:eastAsia="zh-CN"/>
              </w:rPr>
              <w:t>；</w:t>
            </w:r>
            <w:r>
              <w:rPr>
                <w:rFonts w:hint="eastAsia"/>
                <w:sz w:val="21"/>
                <w:szCs w:val="21"/>
              </w:rPr>
              <w:t>变更的策划</w:t>
            </w:r>
            <w:r>
              <w:rPr>
                <w:rFonts w:hint="eastAsia"/>
                <w:sz w:val="21"/>
                <w:szCs w:val="21"/>
                <w:lang w:eastAsia="zh-CN"/>
              </w:rPr>
              <w:t>；</w:t>
            </w:r>
            <w:r>
              <w:rPr>
                <w:rFonts w:hint="eastAsia"/>
                <w:sz w:val="21"/>
                <w:szCs w:val="21"/>
              </w:rPr>
              <w:t>管理评审</w:t>
            </w:r>
            <w:r>
              <w:rPr>
                <w:rFonts w:hint="eastAsia"/>
                <w:sz w:val="21"/>
                <w:szCs w:val="21"/>
                <w:lang w:eastAsia="zh-CN"/>
              </w:rPr>
              <w:t>；</w:t>
            </w:r>
            <w:r>
              <w:rPr>
                <w:rFonts w:hint="eastAsia"/>
                <w:sz w:val="21"/>
                <w:szCs w:val="21"/>
              </w:rPr>
              <w:t>总则、持续改进</w:t>
            </w:r>
          </w:p>
          <w:p>
            <w:pPr>
              <w:snapToGrid w:val="0"/>
              <w:spacing w:line="280" w:lineRule="exact"/>
              <w:jc w:val="left"/>
              <w:rPr>
                <w:rFonts w:hint="eastAsia" w:eastAsia="宋体"/>
                <w:sz w:val="21"/>
                <w:szCs w:val="21"/>
                <w:lang w:val="en-US" w:eastAsia="zh-CN"/>
              </w:rPr>
            </w:pPr>
            <w:r>
              <w:rPr>
                <w:rFonts w:hint="eastAsia"/>
                <w:sz w:val="21"/>
                <w:szCs w:val="21"/>
                <w:lang w:val="en-US" w:eastAsia="zh-CN"/>
              </w:rPr>
              <w:t>涉及条款：E</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5.1.1</w:t>
            </w:r>
            <w:r>
              <w:rPr>
                <w:rFonts w:hint="eastAsia"/>
                <w:sz w:val="21"/>
                <w:szCs w:val="21"/>
                <w:lang w:val="en-US" w:eastAsia="zh-CN"/>
              </w:rPr>
              <w:t>/</w:t>
            </w:r>
            <w:r>
              <w:rPr>
                <w:rFonts w:hint="eastAsia"/>
                <w:sz w:val="21"/>
                <w:szCs w:val="21"/>
              </w:rPr>
              <w:t>5.1.2</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6.3</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p>
        </w:tc>
        <w:tc>
          <w:tcPr>
            <w:tcW w:w="1196" w:type="dxa"/>
            <w:tcBorders>
              <w:right w:val="single" w:color="auto" w:sz="8" w:space="0"/>
            </w:tcBorders>
            <w:vAlign w:val="center"/>
          </w:tcPr>
          <w:p>
            <w:pPr>
              <w:snapToGrid w:val="0"/>
              <w:spacing w:line="280" w:lineRule="exact"/>
              <w:jc w:val="left"/>
              <w:rPr>
                <w:b/>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73" w:type="dxa"/>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284" w:type="dxa"/>
            <w:vAlign w:val="center"/>
          </w:tcPr>
          <w:p>
            <w:pPr>
              <w:rPr>
                <w:rFonts w:hint="eastAsia"/>
                <w:sz w:val="21"/>
                <w:szCs w:val="21"/>
                <w:lang w:val="en-US" w:eastAsia="zh-CN"/>
              </w:rPr>
            </w:pPr>
            <w:r>
              <w:rPr>
                <w:rFonts w:hint="eastAsia"/>
                <w:sz w:val="21"/>
                <w:szCs w:val="21"/>
                <w:lang w:val="en-US" w:eastAsia="zh-CN"/>
              </w:rPr>
              <w:t>13</w:t>
            </w:r>
            <w:r>
              <w:rPr>
                <w:rFonts w:hint="eastAsia"/>
                <w:sz w:val="21"/>
                <w:szCs w:val="21"/>
              </w:rPr>
              <w:t>:</w:t>
            </w:r>
            <w:r>
              <w:rPr>
                <w:rFonts w:hint="eastAsia"/>
                <w:sz w:val="21"/>
                <w:szCs w:val="21"/>
                <w:lang w:val="en-US" w:eastAsia="zh-CN"/>
              </w:rPr>
              <w:t>0</w:t>
            </w:r>
            <w:r>
              <w:rPr>
                <w:rFonts w:hint="eastAsia"/>
                <w:sz w:val="21"/>
                <w:szCs w:val="21"/>
              </w:rPr>
              <w:t>0-</w:t>
            </w:r>
            <w:r>
              <w:rPr>
                <w:rFonts w:hint="eastAsia"/>
                <w:sz w:val="21"/>
                <w:szCs w:val="21"/>
                <w:lang w:val="en-US" w:eastAsia="zh-CN"/>
              </w:rPr>
              <w:t>-17:00</w:t>
            </w:r>
          </w:p>
        </w:tc>
        <w:tc>
          <w:tcPr>
            <w:tcW w:w="6665" w:type="dxa"/>
            <w:vAlign w:val="center"/>
          </w:tcPr>
          <w:p>
            <w:pPr>
              <w:snapToGrid w:val="0"/>
              <w:spacing w:line="280" w:lineRule="exact"/>
              <w:jc w:val="left"/>
              <w:rPr>
                <w:rFonts w:hint="eastAsia"/>
                <w:sz w:val="21"/>
                <w:szCs w:val="21"/>
              </w:rPr>
            </w:pPr>
            <w:r>
              <w:rPr>
                <w:rFonts w:hint="eastAsia"/>
                <w:b/>
                <w:bCs/>
                <w:sz w:val="21"/>
                <w:szCs w:val="21"/>
              </w:rPr>
              <w:t>办公室</w:t>
            </w:r>
            <w:r>
              <w:rPr>
                <w:rFonts w:hint="eastAsia"/>
                <w:sz w:val="21"/>
                <w:szCs w:val="21"/>
              </w:rPr>
              <w:t>：</w:t>
            </w:r>
            <w:r>
              <w:rPr>
                <w:rFonts w:hint="default" w:ascii="Times New Roman" w:hAnsi="Times New Roman" w:cs="Times New Roman"/>
                <w:sz w:val="21"/>
                <w:szCs w:val="21"/>
              </w:rPr>
              <w:t>组织的岗位、职责权限；资源作用职责责任权限；目标、指标管理方案；环境因素/危险源识别评价；文件化信息；文件总则/管理手册、文件和记录控制；人员；能力；意识；沟通；能力、培训和意识；信息交流、沟通参与和协商；运行策划和控制；运行控制；应急准备和响应；合规义务；法律法规要求；绩效的监视和测量；合规性评价；事件、不合格及纠正和预防措施控制；内部审核</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eastAsia="宋体"/>
                <w:sz w:val="21"/>
                <w:szCs w:val="21"/>
                <w:lang w:val="en-US" w:eastAsia="zh-CN"/>
              </w:rPr>
            </w:pPr>
            <w:r>
              <w:rPr>
                <w:rFonts w:hint="eastAsia"/>
                <w:sz w:val="21"/>
                <w:szCs w:val="21"/>
                <w:lang w:val="en-US" w:eastAsia="zh-CN"/>
              </w:rPr>
              <w:t>涉及条款：</w:t>
            </w:r>
            <w:r>
              <w:rPr>
                <w:rFonts w:hint="default" w:ascii="Times New Roman" w:hAnsi="Times New Roman" w:cs="Times New Roman"/>
                <w:sz w:val="21"/>
                <w:szCs w:val="21"/>
              </w:rPr>
              <w:t>E5.3/6.1.2/6.1.3/6.2/7.2/7.3/7.4/7.5/8.1/8.2/9.1/9.2/10.2</w:t>
            </w:r>
          </w:p>
        </w:tc>
        <w:tc>
          <w:tcPr>
            <w:tcW w:w="1196" w:type="dxa"/>
            <w:tcBorders>
              <w:right w:val="single" w:color="auto" w:sz="8" w:space="0"/>
            </w:tcBorders>
            <w:vAlign w:val="center"/>
          </w:tcPr>
          <w:p>
            <w:pPr>
              <w:snapToGrid w:val="0"/>
              <w:spacing w:line="280" w:lineRule="exact"/>
              <w:jc w:val="left"/>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73"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2021.3.2</w:t>
            </w:r>
          </w:p>
        </w:tc>
        <w:tc>
          <w:tcPr>
            <w:tcW w:w="1284" w:type="dxa"/>
            <w:vAlign w:val="center"/>
          </w:tcPr>
          <w:p>
            <w:pPr>
              <w:rPr>
                <w:rFonts w:hint="eastAsia"/>
                <w:sz w:val="21"/>
                <w:szCs w:val="21"/>
                <w:lang w:val="en-US" w:eastAsia="zh-CN"/>
              </w:rPr>
            </w:pPr>
            <w:r>
              <w:rPr>
                <w:rFonts w:hint="eastAsia"/>
                <w:sz w:val="21"/>
                <w:szCs w:val="21"/>
                <w:lang w:val="en-US" w:eastAsia="zh-CN"/>
              </w:rPr>
              <w:t>8</w:t>
            </w:r>
            <w:r>
              <w:rPr>
                <w:rFonts w:hint="eastAsia"/>
                <w:sz w:val="21"/>
                <w:szCs w:val="21"/>
              </w:rPr>
              <w:t>:</w:t>
            </w:r>
            <w:r>
              <w:rPr>
                <w:rFonts w:hint="eastAsia"/>
                <w:sz w:val="21"/>
                <w:szCs w:val="21"/>
                <w:lang w:val="en-US" w:eastAsia="zh-CN"/>
              </w:rPr>
              <w:t>0</w:t>
            </w:r>
            <w:r>
              <w:rPr>
                <w:rFonts w:hint="eastAsia"/>
                <w:sz w:val="21"/>
                <w:szCs w:val="21"/>
              </w:rPr>
              <w:t>0-</w:t>
            </w:r>
            <w:r>
              <w:rPr>
                <w:rFonts w:hint="eastAsia"/>
                <w:sz w:val="21"/>
                <w:szCs w:val="21"/>
                <w:lang w:val="en-US" w:eastAsia="zh-CN"/>
              </w:rPr>
              <w:t>11</w:t>
            </w:r>
            <w:r>
              <w:rPr>
                <w:rFonts w:hint="eastAsia"/>
                <w:sz w:val="21"/>
                <w:szCs w:val="21"/>
              </w:rPr>
              <w:t>:</w:t>
            </w:r>
            <w:r>
              <w:rPr>
                <w:rFonts w:hint="eastAsia"/>
                <w:sz w:val="21"/>
                <w:szCs w:val="21"/>
                <w:lang w:val="en-US" w:eastAsia="zh-CN"/>
              </w:rPr>
              <w:t>0</w:t>
            </w:r>
            <w:r>
              <w:rPr>
                <w:rFonts w:hint="eastAsia"/>
                <w:sz w:val="21"/>
                <w:szCs w:val="21"/>
              </w:rPr>
              <w:t>0</w:t>
            </w:r>
          </w:p>
        </w:tc>
        <w:tc>
          <w:tcPr>
            <w:tcW w:w="6665" w:type="dxa"/>
            <w:vAlign w:val="center"/>
          </w:tcPr>
          <w:p>
            <w:pPr>
              <w:snapToGrid w:val="0"/>
              <w:spacing w:line="280" w:lineRule="exact"/>
              <w:jc w:val="left"/>
              <w:rPr>
                <w:rFonts w:hint="eastAsia"/>
                <w:sz w:val="21"/>
                <w:szCs w:val="21"/>
              </w:rPr>
            </w:pPr>
            <w:r>
              <w:rPr>
                <w:rFonts w:hint="eastAsia"/>
                <w:b/>
                <w:sz w:val="20"/>
                <w:lang w:val="en-US" w:eastAsia="zh-CN"/>
              </w:rPr>
              <w:t>销售部：</w:t>
            </w:r>
            <w:r>
              <w:rPr>
                <w:rFonts w:hint="default" w:ascii="Times New Roman" w:hAnsi="Times New Roman" w:cs="Times New Roman"/>
                <w:sz w:val="21"/>
                <w:szCs w:val="21"/>
              </w:rPr>
              <w:t>组织的岗位、职责权限；目标；环境因素、危险源辨识、风险评价和控制措施的确定；沟通、参与、协商；运行控制；应急准备和响应</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sz w:val="21"/>
                <w:szCs w:val="21"/>
                <w:lang w:val="en-US" w:eastAsia="zh-CN"/>
              </w:rPr>
            </w:pPr>
            <w:r>
              <w:rPr>
                <w:rFonts w:hint="eastAsia"/>
                <w:sz w:val="21"/>
                <w:szCs w:val="21"/>
                <w:lang w:val="en-US" w:eastAsia="zh-CN"/>
              </w:rPr>
              <w:t>涉及条款：</w:t>
            </w:r>
            <w:r>
              <w:rPr>
                <w:rFonts w:hint="default" w:ascii="Times New Roman" w:hAnsi="Times New Roman" w:cs="Times New Roman"/>
                <w:sz w:val="21"/>
                <w:szCs w:val="21"/>
              </w:rPr>
              <w:t>E5.3/6.1.2/6.2/8.1/8.2</w:t>
            </w:r>
          </w:p>
        </w:tc>
        <w:tc>
          <w:tcPr>
            <w:tcW w:w="1196" w:type="dxa"/>
            <w:tcBorders>
              <w:right w:val="single" w:color="auto" w:sz="8" w:space="0"/>
            </w:tcBorders>
            <w:vAlign w:val="center"/>
          </w:tcPr>
          <w:p>
            <w:pPr>
              <w:snapToGrid w:val="0"/>
              <w:spacing w:line="280" w:lineRule="exact"/>
              <w:jc w:val="left"/>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73" w:type="dxa"/>
            <w:tcBorders>
              <w:left w:val="single" w:color="auto" w:sz="8" w:space="0"/>
            </w:tcBorders>
            <w:vAlign w:val="center"/>
          </w:tcPr>
          <w:p>
            <w:pPr>
              <w:snapToGrid w:val="0"/>
              <w:spacing w:line="280" w:lineRule="exact"/>
              <w:jc w:val="left"/>
              <w:rPr>
                <w:rFonts w:hint="eastAsia"/>
                <w:b/>
                <w:sz w:val="20"/>
                <w:lang w:val="en-US" w:eastAsia="zh-CN"/>
              </w:rPr>
            </w:pPr>
          </w:p>
        </w:tc>
        <w:tc>
          <w:tcPr>
            <w:tcW w:w="1284"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11</w:t>
            </w:r>
            <w:r>
              <w:rPr>
                <w:rFonts w:hint="eastAsia"/>
                <w:sz w:val="21"/>
                <w:szCs w:val="21"/>
              </w:rPr>
              <w:t>:</w:t>
            </w:r>
            <w:r>
              <w:rPr>
                <w:rFonts w:hint="eastAsia"/>
                <w:sz w:val="21"/>
                <w:szCs w:val="21"/>
                <w:lang w:val="en-US" w:eastAsia="zh-CN"/>
              </w:rPr>
              <w:t>0</w:t>
            </w:r>
            <w:r>
              <w:rPr>
                <w:rFonts w:hint="eastAsia"/>
                <w:sz w:val="21"/>
                <w:szCs w:val="21"/>
              </w:rPr>
              <w:t>0-1</w:t>
            </w:r>
            <w:r>
              <w:rPr>
                <w:rFonts w:hint="eastAsia"/>
                <w:sz w:val="21"/>
                <w:szCs w:val="21"/>
                <w:lang w:val="en-US" w:eastAsia="zh-CN"/>
              </w:rPr>
              <w:t>1</w:t>
            </w:r>
            <w:r>
              <w:rPr>
                <w:rFonts w:hint="eastAsia"/>
                <w:sz w:val="21"/>
                <w:szCs w:val="21"/>
              </w:rPr>
              <w:t>:</w:t>
            </w:r>
            <w:r>
              <w:rPr>
                <w:rFonts w:hint="eastAsia"/>
                <w:sz w:val="21"/>
                <w:szCs w:val="21"/>
                <w:lang w:val="en-US" w:eastAsia="zh-CN"/>
              </w:rPr>
              <w:t>3</w:t>
            </w:r>
            <w:r>
              <w:rPr>
                <w:rFonts w:hint="eastAsia"/>
                <w:sz w:val="21"/>
                <w:szCs w:val="21"/>
              </w:rPr>
              <w:t>0</w:t>
            </w:r>
          </w:p>
        </w:tc>
        <w:tc>
          <w:tcPr>
            <w:tcW w:w="6665"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与受审核方管理层沟通</w:t>
            </w: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73" w:type="dxa"/>
            <w:tcBorders>
              <w:left w:val="single" w:color="auto" w:sz="8" w:space="0"/>
            </w:tcBorders>
            <w:vAlign w:val="center"/>
          </w:tcPr>
          <w:p>
            <w:pPr>
              <w:snapToGrid w:val="0"/>
              <w:spacing w:line="280" w:lineRule="exact"/>
              <w:jc w:val="left"/>
              <w:rPr>
                <w:b/>
                <w:sz w:val="20"/>
              </w:rPr>
            </w:pPr>
          </w:p>
        </w:tc>
        <w:tc>
          <w:tcPr>
            <w:tcW w:w="1284" w:type="dxa"/>
            <w:vAlign w:val="center"/>
          </w:tcPr>
          <w:p>
            <w:pPr>
              <w:rPr>
                <w:rFonts w:hint="eastAsia"/>
                <w:sz w:val="21"/>
                <w:szCs w:val="21"/>
                <w:lang w:val="en-US" w:eastAsia="zh-CN"/>
              </w:rPr>
            </w:pPr>
            <w:r>
              <w:rPr>
                <w:rFonts w:hint="eastAsia"/>
                <w:sz w:val="21"/>
                <w:szCs w:val="21"/>
                <w:lang w:val="en-US" w:eastAsia="zh-CN"/>
              </w:rPr>
              <w:t>11</w:t>
            </w:r>
            <w:r>
              <w:rPr>
                <w:rFonts w:hint="eastAsia"/>
                <w:sz w:val="21"/>
                <w:szCs w:val="21"/>
              </w:rPr>
              <w:t>:</w:t>
            </w:r>
            <w:r>
              <w:rPr>
                <w:rFonts w:hint="eastAsia"/>
                <w:sz w:val="21"/>
                <w:szCs w:val="21"/>
                <w:lang w:val="en-US" w:eastAsia="zh-CN"/>
              </w:rPr>
              <w:t>3</w:t>
            </w:r>
            <w:r>
              <w:rPr>
                <w:rFonts w:hint="eastAsia"/>
                <w:sz w:val="21"/>
                <w:szCs w:val="21"/>
              </w:rPr>
              <w:t>0-1</w:t>
            </w:r>
            <w:r>
              <w:rPr>
                <w:rFonts w:hint="eastAsia"/>
                <w:sz w:val="21"/>
                <w:szCs w:val="21"/>
                <w:lang w:val="en-US" w:eastAsia="zh-CN"/>
              </w:rPr>
              <w:t>2</w:t>
            </w:r>
            <w:r>
              <w:rPr>
                <w:rFonts w:hint="eastAsia"/>
                <w:sz w:val="21"/>
                <w:szCs w:val="21"/>
              </w:rPr>
              <w:t>:</w:t>
            </w:r>
            <w:r>
              <w:rPr>
                <w:rFonts w:hint="eastAsia"/>
                <w:sz w:val="21"/>
                <w:szCs w:val="21"/>
                <w:lang w:val="en-US" w:eastAsia="zh-CN"/>
              </w:rPr>
              <w:t>0</w:t>
            </w:r>
            <w:r>
              <w:rPr>
                <w:rFonts w:hint="eastAsia"/>
                <w:sz w:val="21"/>
                <w:szCs w:val="21"/>
              </w:rPr>
              <w:t>0</w:t>
            </w:r>
          </w:p>
        </w:tc>
        <w:tc>
          <w:tcPr>
            <w:tcW w:w="6665" w:type="dxa"/>
            <w:vAlign w:val="center"/>
          </w:tcPr>
          <w:p>
            <w:pPr>
              <w:snapToGrid w:val="0"/>
              <w:spacing w:line="280" w:lineRule="exact"/>
              <w:jc w:val="left"/>
              <w:rPr>
                <w:rFonts w:hint="eastAsia" w:eastAsia="宋体"/>
                <w:b/>
                <w:sz w:val="20"/>
                <w:lang w:val="en-US" w:eastAsia="zh-CN"/>
              </w:rPr>
            </w:pPr>
            <w:r>
              <w:rPr>
                <w:rFonts w:hint="eastAsia"/>
                <w:b/>
                <w:sz w:val="20"/>
                <w:lang w:val="en-US" w:eastAsia="zh-CN"/>
              </w:rPr>
              <w:t>末次会议（管理层及各部门负责人）</w:t>
            </w:r>
          </w:p>
        </w:tc>
        <w:tc>
          <w:tcPr>
            <w:tcW w:w="1196" w:type="dxa"/>
            <w:tcBorders>
              <w:right w:val="single" w:color="auto" w:sz="8" w:space="0"/>
            </w:tcBorders>
            <w:vAlign w:val="center"/>
          </w:tcPr>
          <w:p>
            <w:pPr>
              <w:snapToGrid w:val="0"/>
              <w:spacing w:line="280" w:lineRule="exact"/>
              <w:jc w:val="left"/>
              <w:rPr>
                <w:sz w:val="20"/>
              </w:rPr>
            </w:pPr>
            <w:r>
              <w:rPr>
                <w:sz w:val="20"/>
              </w:rPr>
              <w:t>ISC-72033</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5D5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2021-03-01T01:40:37Z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