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质量管理体系：第（2）次监督</w:t>
            </w:r>
          </w:p>
          <w:p>
            <w:pPr>
              <w:spacing w:line="360" w:lineRule="exact"/>
              <w:rPr>
                <w:rFonts w:hint="eastAsia"/>
                <w:b/>
                <w:szCs w:val="21"/>
              </w:rPr>
            </w:pPr>
            <w:r>
              <w:rPr>
                <w:rFonts w:hint="eastAsia"/>
                <w:b/>
                <w:szCs w:val="21"/>
              </w:rPr>
              <w:t>环境管理体系：第（2）次监督</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颖高环保科技石家庄有限公司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val="en-US" w:eastAsia="zh-CN"/>
              </w:rPr>
            </w:pPr>
            <w:r>
              <w:rPr>
                <w:rFonts w:hint="eastAsia" w:ascii="方正仿宋简体" w:eastAsia="方正仿宋简体"/>
                <w:b/>
                <w:lang w:val="en-US" w:eastAsia="zh-CN"/>
              </w:rPr>
              <w:t>办公室</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bookmarkStart w:id="5" w:name="联系人"/>
            <w:r>
              <w:rPr>
                <w:b w:val="0"/>
                <w:bCs w:val="0"/>
                <w:sz w:val="21"/>
                <w:szCs w:val="21"/>
              </w:rPr>
              <w:t>戎丽维</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eastAsia="zh-CN"/>
              </w:rPr>
            </w:pPr>
            <w:r>
              <w:rPr>
                <w:rFonts w:hint="eastAsia" w:ascii="方正仿宋简体" w:eastAsia="方正仿宋简体"/>
                <w:b/>
                <w:lang w:val="en-US" w:eastAsia="zh-CN"/>
              </w:rPr>
              <w:t>现场审核发现，未提供对产品运输外包方进行定期评价，并施加环境及职业健康安全方面影响的证据。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w:t>
            </w:r>
            <w:r>
              <w:rPr>
                <w:rFonts w:hint="eastAsia" w:ascii="宋体" w:hAnsi="宋体"/>
                <w:b/>
                <w:sz w:val="22"/>
                <w:szCs w:val="22"/>
                <w:lang w:val="en-US" w:eastAsia="zh-CN"/>
              </w:rPr>
              <w:t>-</w:t>
            </w:r>
            <w:r>
              <w:rPr>
                <w:rFonts w:hint="eastAsia" w:ascii="宋体" w:hAnsi="宋体"/>
                <w:b/>
                <w:sz w:val="22"/>
                <w:szCs w:val="22"/>
              </w:rPr>
              <w:t xml:space="preserve">2016 idt ISO 9001:2015标准 </w:t>
            </w:r>
            <w:r>
              <w:rPr>
                <w:rFonts w:hint="eastAsia" w:ascii="宋体" w:hAnsi="宋体"/>
                <w:b/>
                <w:sz w:val="22"/>
                <w:szCs w:val="22"/>
                <w:lang w:val="en-US" w:eastAsia="zh-CN"/>
              </w:rPr>
              <w:t>8.4.1</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24001-2016 idt ISO 14001:2015标准 </w:t>
            </w:r>
            <w:r>
              <w:rPr>
                <w:rFonts w:hint="eastAsia" w:ascii="宋体" w:hAnsi="宋体"/>
                <w:b/>
                <w:sz w:val="22"/>
                <w:szCs w:val="22"/>
                <w:lang w:val="en-US" w:eastAsia="zh-CN"/>
              </w:rPr>
              <w:t>8.1</w:t>
            </w:r>
            <w:r>
              <w:rPr>
                <w:rFonts w:hint="eastAsia" w:ascii="宋体" w:hAnsi="宋体"/>
                <w:b/>
                <w:sz w:val="22"/>
                <w:szCs w:val="22"/>
              </w:rPr>
              <w:t xml:space="preserve">  </w:t>
            </w:r>
            <w:r>
              <w:rPr>
                <w:rFonts w:hint="eastAsia" w:ascii="宋体" w:hAnsi="宋体"/>
                <w:b/>
                <w:sz w:val="22"/>
                <w:szCs w:val="22"/>
                <w:lang w:val="en-US" w:eastAsia="zh-CN"/>
              </w:rPr>
              <w:t xml:space="preserve"> </w:t>
            </w:r>
            <w:r>
              <w:rPr>
                <w:rFonts w:hint="eastAsia" w:ascii="宋体" w:hAnsi="宋体"/>
                <w:b/>
                <w:sz w:val="22"/>
                <w:szCs w:val="22"/>
              </w:rPr>
              <w:t>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GB/T </w:t>
            </w:r>
            <w:r>
              <w:rPr>
                <w:rFonts w:hint="eastAsia" w:ascii="宋体" w:hAnsi="宋体"/>
                <w:b/>
                <w:sz w:val="22"/>
                <w:szCs w:val="22"/>
                <w:lang w:val="en-US" w:eastAsia="zh-CN"/>
              </w:rPr>
              <w:t>45</w:t>
            </w:r>
            <w:r>
              <w:rPr>
                <w:rFonts w:hint="eastAsia" w:ascii="宋体" w:hAnsi="宋体"/>
                <w:b/>
                <w:sz w:val="22"/>
                <w:szCs w:val="22"/>
              </w:rPr>
              <w:t>001-2011 idt ISO</w:t>
            </w:r>
            <w:r>
              <w:rPr>
                <w:rFonts w:hint="eastAsia" w:ascii="宋体" w:hAnsi="宋体"/>
                <w:b/>
                <w:sz w:val="22"/>
                <w:szCs w:val="22"/>
                <w:lang w:val="en-US" w:eastAsia="zh-CN"/>
              </w:rPr>
              <w:t xml:space="preserve"> </w:t>
            </w:r>
            <w:r>
              <w:rPr>
                <w:rFonts w:hint="eastAsia" w:ascii="宋体" w:hAnsi="宋体"/>
                <w:b/>
                <w:sz w:val="22"/>
                <w:szCs w:val="22"/>
              </w:rPr>
              <w:t>45001</w:t>
            </w:r>
            <w:r>
              <w:rPr>
                <w:rFonts w:hint="eastAsia" w:ascii="宋体" w:hAnsi="宋体"/>
                <w:b/>
                <w:sz w:val="22"/>
                <w:szCs w:val="22"/>
                <w:lang w:val="en-US" w:eastAsia="zh-CN"/>
              </w:rPr>
              <w:t>:</w:t>
            </w:r>
            <w:r>
              <w:rPr>
                <w:rFonts w:hint="eastAsia" w:ascii="宋体" w:hAnsi="宋体"/>
                <w:b/>
                <w:sz w:val="22"/>
                <w:szCs w:val="22"/>
              </w:rPr>
              <w:t xml:space="preserve">2018标准 </w:t>
            </w:r>
            <w:r>
              <w:rPr>
                <w:rFonts w:hint="eastAsia" w:ascii="宋体" w:hAnsi="宋体"/>
                <w:b/>
                <w:sz w:val="22"/>
                <w:szCs w:val="22"/>
                <w:lang w:val="en-US" w:eastAsia="zh-CN"/>
              </w:rPr>
              <w:t>8.1.4</w:t>
            </w:r>
            <w:r>
              <w:rPr>
                <w:rFonts w:hint="eastAsia" w:ascii="宋体" w:hAnsi="宋体"/>
                <w:b/>
                <w:sz w:val="22"/>
                <w:szCs w:val="22"/>
              </w:rPr>
              <w:t xml:space="preserve">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w:t>
            </w:r>
            <w:r>
              <w:rPr>
                <w:rFonts w:hint="eastAsia" w:ascii="方正仿宋简体" w:eastAsia="方正仿宋简体"/>
                <w:b/>
                <w:lang w:val="en-US" w:eastAsia="zh-CN"/>
              </w:rPr>
              <w:t>组长</w:t>
            </w:r>
            <w:r>
              <w:rPr>
                <w:rFonts w:hint="eastAsia" w:ascii="方正仿宋简体" w:eastAsia="方正仿宋简体"/>
                <w:b/>
              </w:rPr>
              <w:t xml:space="preserve">：                 日期：       </w:t>
            </w:r>
          </w:p>
        </w:tc>
      </w:tr>
    </w:tbl>
    <w:p>
      <w:pPr>
        <w:rPr>
          <w:rFonts w:hint="eastAsia" w:eastAsia="黑体"/>
          <w:b/>
          <w:lang w:eastAsia="zh-CN"/>
        </w:rPr>
      </w:pPr>
      <w:r>
        <w:rPr>
          <w:rFonts w:eastAsia="黑体"/>
          <w:sz w:val="24"/>
        </w:rPr>
        <w:br w:type="page"/>
      </w:r>
      <w:r>
        <w:rPr>
          <w:rFonts w:hint="eastAsia" w:eastAsia="黑体"/>
          <w:b/>
          <w:lang w:eastAsia="zh-CN"/>
        </w:rPr>
        <w:drawing>
          <wp:inline distT="0" distB="0" distL="114300" distR="114300">
            <wp:extent cx="6390005" cy="8856980"/>
            <wp:effectExtent l="0" t="0" r="10795" b="7620"/>
            <wp:docPr id="2" name="图片 2" descr="mmexport161423909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mmexport1614239094920"/>
                    <pic:cNvPicPr>
                      <a:picLocks noChangeAspect="1"/>
                    </pic:cNvPicPr>
                  </pic:nvPicPr>
                  <pic:blipFill>
                    <a:blip r:embed="rId6"/>
                    <a:stretch>
                      <a:fillRect/>
                    </a:stretch>
                  </pic:blipFill>
                  <pic:spPr>
                    <a:xfrm>
                      <a:off x="0" y="0"/>
                      <a:ext cx="6390005" cy="8856980"/>
                    </a:xfrm>
                    <a:prstGeom prst="rect">
                      <a:avLst/>
                    </a:prstGeom>
                  </pic:spPr>
                </pic:pic>
              </a:graphicData>
            </a:graphic>
          </wp:inline>
        </w:drawing>
      </w:r>
      <w:r>
        <w:rPr>
          <w:rFonts w:hint="eastAsia" w:eastAsia="黑体"/>
          <w:b/>
          <w:lang w:eastAsia="zh-CN"/>
        </w:rPr>
        <w:drawing>
          <wp:inline distT="0" distB="0" distL="114300" distR="114300">
            <wp:extent cx="6385560" cy="9198610"/>
            <wp:effectExtent l="0" t="0" r="2540" b="8890"/>
            <wp:docPr id="3" name="图片 3" descr="mmexport1614239094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mexport1614239094823"/>
                    <pic:cNvPicPr>
                      <a:picLocks noChangeAspect="1"/>
                    </pic:cNvPicPr>
                  </pic:nvPicPr>
                  <pic:blipFill>
                    <a:blip r:embed="rId7"/>
                    <a:stretch>
                      <a:fillRect/>
                    </a:stretch>
                  </pic:blipFill>
                  <pic:spPr>
                    <a:xfrm>
                      <a:off x="0" y="0"/>
                      <a:ext cx="6385560" cy="9198610"/>
                    </a:xfrm>
                    <a:prstGeom prst="rect">
                      <a:avLst/>
                    </a:prstGeom>
                  </pic:spPr>
                </pic:pic>
              </a:graphicData>
            </a:graphic>
          </wp:inline>
        </w:drawing>
      </w:r>
    </w:p>
    <w:p>
      <w:pPr>
        <w:ind w:firstLine="3520" w:firstLineChars="1100"/>
        <w:rPr>
          <w:rFonts w:hint="eastAsia" w:ascii="黑体" w:hAnsi="黑体" w:eastAsia="黑体"/>
          <w:sz w:val="32"/>
          <w:szCs w:val="32"/>
        </w:rPr>
      </w:pPr>
      <w:r>
        <w:rPr>
          <w:rFonts w:hint="eastAsia" w:ascii="黑体" w:hAnsi="黑体" w:eastAsia="黑体"/>
          <w:sz w:val="32"/>
          <w:szCs w:val="32"/>
        </w:rPr>
        <w:t>培  训  记  录</w:t>
      </w:r>
    </w:p>
    <w:p>
      <w:pPr>
        <w:ind w:firstLine="5700" w:firstLineChars="1900"/>
        <w:jc w:val="right"/>
        <w:rPr>
          <w:sz w:val="30"/>
        </w:rPr>
      </w:pPr>
      <w:r>
        <w:rPr>
          <w:sz w:val="30"/>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8"/>
        <w:gridCol w:w="2148"/>
        <w:gridCol w:w="2148"/>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时</w:t>
            </w:r>
            <w:r>
              <w:rPr>
                <w:sz w:val="24"/>
                <w:szCs w:val="24"/>
              </w:rPr>
              <w:t xml:space="preserve">  </w:t>
            </w:r>
            <w:r>
              <w:rPr>
                <w:rFonts w:hint="eastAsia"/>
                <w:sz w:val="24"/>
                <w:szCs w:val="24"/>
              </w:rPr>
              <w:t>间</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sz w:val="24"/>
                <w:szCs w:val="24"/>
                <w:lang w:val="en-US" w:eastAsia="zh-CN"/>
              </w:rPr>
            </w:pPr>
            <w:r>
              <w:rPr>
                <w:sz w:val="24"/>
                <w:szCs w:val="24"/>
              </w:rPr>
              <w:t>20</w:t>
            </w:r>
            <w:r>
              <w:rPr>
                <w:rFonts w:hint="eastAsia"/>
                <w:sz w:val="24"/>
                <w:szCs w:val="24"/>
                <w:lang w:val="en-US" w:eastAsia="zh-CN"/>
              </w:rPr>
              <w:t>21.2.28</w:t>
            </w:r>
          </w:p>
        </w:tc>
        <w:tc>
          <w:tcPr>
            <w:tcW w:w="2148" w:type="dxa"/>
            <w:tcBorders>
              <w:top w:val="single" w:color="auto" w:sz="4" w:space="0"/>
              <w:left w:val="single" w:color="auto" w:sz="4" w:space="0"/>
              <w:bottom w:val="single" w:color="auto" w:sz="4" w:space="0"/>
              <w:right w:val="single" w:color="auto" w:sz="4" w:space="0"/>
            </w:tcBorders>
            <w:noWrap w:val="0"/>
            <w:vAlign w:val="center"/>
          </w:tcPr>
          <w:p>
            <w:pPr>
              <w:jc w:val="both"/>
              <w:rPr>
                <w:sz w:val="24"/>
                <w:szCs w:val="24"/>
              </w:rPr>
            </w:pPr>
            <w:r>
              <w:rPr>
                <w:rFonts w:hint="eastAsia"/>
                <w:sz w:val="24"/>
                <w:szCs w:val="24"/>
              </w:rPr>
              <w:t>地</w:t>
            </w:r>
            <w:r>
              <w:rPr>
                <w:sz w:val="24"/>
                <w:szCs w:val="24"/>
              </w:rPr>
              <w:t xml:space="preserve">  </w:t>
            </w:r>
            <w:r>
              <w:rPr>
                <w:rFonts w:hint="eastAsia"/>
                <w:sz w:val="24"/>
                <w:szCs w:val="24"/>
              </w:rPr>
              <w:t>点</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eastAsia="宋体"/>
                <w:sz w:val="24"/>
                <w:szCs w:val="24"/>
                <w:lang w:eastAsia="zh-CN"/>
              </w:rPr>
            </w:pPr>
            <w:r>
              <w:rPr>
                <w:rFonts w:hint="eastAsia"/>
                <w:sz w:val="24"/>
                <w:szCs w:val="24"/>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主</w:t>
            </w:r>
            <w:r>
              <w:rPr>
                <w:sz w:val="24"/>
                <w:szCs w:val="24"/>
              </w:rPr>
              <w:t xml:space="preserve">  </w:t>
            </w:r>
            <w:r>
              <w:rPr>
                <w:rFonts w:hint="eastAsia"/>
                <w:sz w:val="24"/>
                <w:szCs w:val="24"/>
              </w:rPr>
              <w:t>讲</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default" w:eastAsia="宋体"/>
                <w:sz w:val="24"/>
                <w:szCs w:val="24"/>
                <w:lang w:val="en-US" w:eastAsia="zh-CN"/>
              </w:rPr>
            </w:pPr>
            <w:r>
              <w:rPr>
                <w:rFonts w:hint="eastAsia"/>
                <w:sz w:val="24"/>
                <w:szCs w:val="24"/>
                <w:lang w:val="en-US" w:eastAsia="zh-CN"/>
              </w:rPr>
              <w:t>戎丽维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参加人员</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color w:val="FF0000"/>
                <w:sz w:val="24"/>
                <w:szCs w:val="24"/>
              </w:rPr>
            </w:pPr>
            <w:r>
              <w:rPr>
                <w:rFonts w:hint="eastAsia"/>
                <w:sz w:val="24"/>
                <w:szCs w:val="24"/>
                <w:lang w:val="en-US" w:eastAsia="zh-CN"/>
              </w:rPr>
              <w:t>办公室</w:t>
            </w:r>
            <w:r>
              <w:rPr>
                <w:rFonts w:hint="eastAsia"/>
                <w:sz w:val="24"/>
                <w:szCs w:val="24"/>
              </w:rPr>
              <w:t>全体人员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1"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培</w:t>
            </w:r>
          </w:p>
          <w:p>
            <w:pPr>
              <w:jc w:val="center"/>
              <w:rPr>
                <w:sz w:val="24"/>
                <w:szCs w:val="24"/>
              </w:rPr>
            </w:pPr>
            <w:r>
              <w:rPr>
                <w:rFonts w:hint="eastAsia"/>
                <w:sz w:val="24"/>
                <w:szCs w:val="24"/>
              </w:rPr>
              <w:t>训</w:t>
            </w:r>
          </w:p>
          <w:p>
            <w:pPr>
              <w:jc w:val="center"/>
              <w:rPr>
                <w:sz w:val="24"/>
                <w:szCs w:val="24"/>
              </w:rPr>
            </w:pPr>
            <w:r>
              <w:rPr>
                <w:rFonts w:hint="eastAsia"/>
                <w:sz w:val="24"/>
                <w:szCs w:val="24"/>
              </w:rPr>
              <w:t>主</w:t>
            </w:r>
          </w:p>
          <w:p>
            <w:pPr>
              <w:jc w:val="center"/>
              <w:rPr>
                <w:sz w:val="24"/>
                <w:szCs w:val="24"/>
              </w:rPr>
            </w:pPr>
            <w:r>
              <w:rPr>
                <w:rFonts w:hint="eastAsia"/>
                <w:sz w:val="24"/>
                <w:szCs w:val="24"/>
              </w:rPr>
              <w:t>要</w:t>
            </w:r>
          </w:p>
          <w:p>
            <w:pPr>
              <w:jc w:val="center"/>
              <w:rPr>
                <w:sz w:val="24"/>
                <w:szCs w:val="24"/>
              </w:rPr>
            </w:pPr>
            <w:r>
              <w:rPr>
                <w:rFonts w:hint="eastAsia"/>
                <w:sz w:val="24"/>
                <w:szCs w:val="24"/>
              </w:rPr>
              <w:t>内</w:t>
            </w:r>
          </w:p>
          <w:p>
            <w:pPr>
              <w:jc w:val="center"/>
              <w:rPr>
                <w:sz w:val="24"/>
                <w:szCs w:val="24"/>
              </w:rPr>
            </w:pPr>
            <w:r>
              <w:rPr>
                <w:rFonts w:hint="eastAsia"/>
                <w:sz w:val="24"/>
                <w:szCs w:val="24"/>
              </w:rPr>
              <w:t>容</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spacing w:line="480" w:lineRule="auto"/>
              <w:jc w:val="both"/>
              <w:rPr>
                <w:rFonts w:ascii="Times New Roman" w:hAnsi="Times New Roman" w:eastAsia="宋体"/>
                <w:sz w:val="24"/>
                <w:szCs w:val="24"/>
              </w:rPr>
            </w:pPr>
            <w:r>
              <w:rPr>
                <w:rFonts w:ascii="Times New Roman" w:hAnsi="Times New Roman" w:eastAsia="宋体"/>
                <w:sz w:val="24"/>
                <w:szCs w:val="24"/>
              </w:rPr>
              <w:t>1、</w:t>
            </w:r>
            <w:r>
              <w:rPr>
                <w:rFonts w:hint="eastAsia"/>
                <w:sz w:val="24"/>
                <w:szCs w:val="24"/>
                <w:lang w:val="en-US" w:eastAsia="zh-CN"/>
              </w:rPr>
              <w:t>GB/T19001-2016标准的8.4.1条款、GB/T24001-2016标准的8.1条款、</w:t>
            </w:r>
            <w:r>
              <w:rPr>
                <w:rFonts w:hint="eastAsia" w:ascii="Times New Roman" w:hAnsi="Times New Roman" w:eastAsia="宋体"/>
                <w:sz w:val="24"/>
                <w:szCs w:val="24"/>
                <w:lang w:val="en-US" w:eastAsia="zh-CN"/>
              </w:rPr>
              <w:t>GB/T45001-2020</w:t>
            </w:r>
            <w:r>
              <w:rPr>
                <w:rFonts w:hint="eastAsia" w:ascii="Times New Roman" w:hAnsi="Times New Roman" w:eastAsia="宋体"/>
                <w:sz w:val="24"/>
                <w:szCs w:val="24"/>
              </w:rPr>
              <w:t>标准的</w:t>
            </w:r>
            <w:r>
              <w:rPr>
                <w:rFonts w:hint="eastAsia" w:ascii="Times New Roman" w:hAnsi="Times New Roman" w:eastAsia="宋体"/>
                <w:sz w:val="24"/>
                <w:szCs w:val="24"/>
                <w:lang w:val="en-US" w:eastAsia="zh-CN"/>
              </w:rPr>
              <w:t>8.1.4</w:t>
            </w:r>
            <w:r>
              <w:rPr>
                <w:rFonts w:hint="eastAsia" w:ascii="Times New Roman" w:hAnsi="Times New Roman" w:eastAsia="宋体"/>
                <w:sz w:val="24"/>
                <w:szCs w:val="24"/>
              </w:rPr>
              <w:t>条款</w:t>
            </w:r>
            <w:r>
              <w:rPr>
                <w:rFonts w:ascii="Times New Roman" w:hAnsi="Times New Roman" w:eastAsia="宋体"/>
                <w:sz w:val="24"/>
                <w:szCs w:val="24"/>
              </w:rPr>
              <w:t>内容及其理解；</w:t>
            </w:r>
          </w:p>
          <w:p>
            <w:pPr>
              <w:spacing w:line="480" w:lineRule="auto"/>
              <w:jc w:val="both"/>
              <w:rPr>
                <w:rFonts w:ascii="Times New Roman" w:hAnsi="Times New Roman" w:eastAsia="宋体"/>
                <w:sz w:val="24"/>
                <w:szCs w:val="24"/>
              </w:rPr>
            </w:pPr>
            <w:r>
              <w:rPr>
                <w:rFonts w:ascii="Times New Roman" w:hAnsi="Times New Roman" w:eastAsia="宋体"/>
                <w:sz w:val="24"/>
                <w:szCs w:val="24"/>
              </w:rPr>
              <w:t>2、本公司管理体系文件相关内容；</w:t>
            </w:r>
          </w:p>
          <w:p>
            <w:pPr>
              <w:numPr>
                <w:ilvl w:val="0"/>
                <w:numId w:val="0"/>
              </w:numPr>
              <w:spacing w:line="480" w:lineRule="auto"/>
              <w:jc w:val="both"/>
              <w:rPr>
                <w:rFonts w:hint="eastAsia" w:ascii="Times New Roman" w:hAnsi="Times New Roman" w:eastAsia="宋体" w:cs="Times New Roman"/>
                <w:sz w:val="24"/>
                <w:szCs w:val="24"/>
                <w:lang w:eastAsia="zh-CN"/>
              </w:rPr>
            </w:pPr>
            <w:r>
              <w:rPr>
                <w:rFonts w:hint="eastAsia" w:ascii="Times New Roman" w:hAnsi="Times New Roman" w:eastAsia="宋体"/>
                <w:sz w:val="24"/>
                <w:szCs w:val="24"/>
                <w:lang w:val="en-US" w:eastAsia="zh-CN"/>
              </w:rPr>
              <w:t>3、</w:t>
            </w:r>
            <w:r>
              <w:rPr>
                <w:rFonts w:ascii="Times New Roman" w:hAnsi="Times New Roman" w:eastAsia="宋体"/>
                <w:sz w:val="24"/>
                <w:szCs w:val="24"/>
              </w:rPr>
              <w:t>纠正措施实施控制要求</w:t>
            </w:r>
            <w:r>
              <w:rPr>
                <w:rFonts w:hint="eastAsia" w:ascii="Times New Roman" w:hAnsi="Times New Roman" w:eastAsia="宋体"/>
                <w:sz w:val="24"/>
                <w:szCs w:val="24"/>
                <w:lang w:eastAsia="zh-CN"/>
              </w:rPr>
              <w:t>。</w:t>
            </w:r>
          </w:p>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4" w:hRule="atLeast"/>
          <w:jc w:val="center"/>
        </w:trPr>
        <w:tc>
          <w:tcPr>
            <w:tcW w:w="2148" w:type="dxa"/>
            <w:tcBorders>
              <w:top w:val="single" w:color="auto" w:sz="4" w:space="0"/>
              <w:left w:val="single" w:color="auto" w:sz="4" w:space="0"/>
              <w:bottom w:val="single" w:color="auto" w:sz="4" w:space="0"/>
              <w:right w:val="single" w:color="auto" w:sz="4" w:space="0"/>
            </w:tcBorders>
            <w:noWrap w:val="0"/>
            <w:vAlign w:val="center"/>
          </w:tcPr>
          <w:p>
            <w:pPr>
              <w:jc w:val="center"/>
              <w:rPr>
                <w:sz w:val="24"/>
                <w:szCs w:val="24"/>
              </w:rPr>
            </w:pPr>
            <w:r>
              <w:rPr>
                <w:rFonts w:hint="eastAsia"/>
                <w:sz w:val="24"/>
                <w:szCs w:val="24"/>
              </w:rPr>
              <w:t>考</w:t>
            </w:r>
          </w:p>
          <w:p>
            <w:pPr>
              <w:jc w:val="center"/>
              <w:rPr>
                <w:sz w:val="24"/>
                <w:szCs w:val="24"/>
              </w:rPr>
            </w:pPr>
            <w:r>
              <w:rPr>
                <w:rFonts w:hint="eastAsia"/>
                <w:sz w:val="24"/>
                <w:szCs w:val="24"/>
              </w:rPr>
              <w:t>核</w:t>
            </w:r>
          </w:p>
          <w:p>
            <w:pPr>
              <w:jc w:val="center"/>
              <w:rPr>
                <w:sz w:val="24"/>
                <w:szCs w:val="24"/>
              </w:rPr>
            </w:pPr>
            <w:r>
              <w:rPr>
                <w:rFonts w:hint="eastAsia"/>
                <w:sz w:val="24"/>
                <w:szCs w:val="24"/>
              </w:rPr>
              <w:t>评</w:t>
            </w:r>
          </w:p>
          <w:p>
            <w:pPr>
              <w:jc w:val="center"/>
              <w:rPr>
                <w:sz w:val="24"/>
                <w:szCs w:val="24"/>
              </w:rPr>
            </w:pPr>
            <w:r>
              <w:rPr>
                <w:rFonts w:hint="eastAsia"/>
                <w:sz w:val="24"/>
                <w:szCs w:val="24"/>
              </w:rPr>
              <w:t>价</w:t>
            </w:r>
          </w:p>
          <w:p>
            <w:pPr>
              <w:jc w:val="center"/>
              <w:rPr>
                <w:sz w:val="24"/>
                <w:szCs w:val="24"/>
              </w:rPr>
            </w:pPr>
            <w:r>
              <w:rPr>
                <w:rFonts w:hint="eastAsia"/>
                <w:sz w:val="24"/>
                <w:szCs w:val="24"/>
              </w:rPr>
              <w:t>情</w:t>
            </w:r>
          </w:p>
          <w:p>
            <w:pPr>
              <w:jc w:val="center"/>
              <w:rPr>
                <w:sz w:val="24"/>
                <w:szCs w:val="24"/>
              </w:rPr>
            </w:pPr>
            <w:r>
              <w:rPr>
                <w:rFonts w:hint="eastAsia"/>
                <w:sz w:val="24"/>
                <w:szCs w:val="24"/>
              </w:rPr>
              <w:t>况</w:t>
            </w:r>
          </w:p>
        </w:tc>
        <w:tc>
          <w:tcPr>
            <w:tcW w:w="7086" w:type="dxa"/>
            <w:gridSpan w:val="3"/>
            <w:tcBorders>
              <w:top w:val="single" w:color="auto" w:sz="4" w:space="0"/>
              <w:left w:val="single" w:color="auto" w:sz="4" w:space="0"/>
              <w:bottom w:val="single" w:color="auto" w:sz="4" w:space="0"/>
              <w:right w:val="single" w:color="auto" w:sz="4" w:space="0"/>
            </w:tcBorders>
            <w:noWrap w:val="0"/>
            <w:vAlign w:val="center"/>
          </w:tcPr>
          <w:p>
            <w:pPr>
              <w:jc w:val="both"/>
              <w:rPr>
                <w:rFonts w:hint="eastAsia"/>
                <w:sz w:val="24"/>
                <w:szCs w:val="24"/>
              </w:rPr>
            </w:pPr>
          </w:p>
          <w:p>
            <w:pPr>
              <w:spacing w:line="480" w:lineRule="auto"/>
              <w:jc w:val="both"/>
              <w:rPr>
                <w:sz w:val="24"/>
                <w:szCs w:val="24"/>
              </w:rPr>
            </w:pPr>
            <w:r>
              <w:rPr>
                <w:rFonts w:hint="eastAsia"/>
                <w:sz w:val="24"/>
                <w:szCs w:val="24"/>
              </w:rPr>
              <w:t>经过培训讲解，提问、交流等形式进行评价，培训效果良好，达到了预期目的。</w:t>
            </w:r>
          </w:p>
          <w:p>
            <w:pPr>
              <w:spacing w:line="480" w:lineRule="auto"/>
              <w:jc w:val="both"/>
              <w:rPr>
                <w:sz w:val="24"/>
                <w:szCs w:val="24"/>
              </w:rPr>
            </w:pPr>
          </w:p>
          <w:p>
            <w:pPr>
              <w:jc w:val="both"/>
              <w:rPr>
                <w:rFonts w:hint="eastAsia"/>
                <w:sz w:val="24"/>
                <w:szCs w:val="24"/>
                <w:lang w:val="en-US" w:eastAsia="zh-CN"/>
              </w:rPr>
            </w:pPr>
            <w:r>
              <w:rPr>
                <w:sz w:val="24"/>
                <w:szCs w:val="24"/>
              </w:rPr>
              <w:t xml:space="preserve">         </w:t>
            </w:r>
            <w:r>
              <w:rPr>
                <w:rFonts w:hint="eastAsia"/>
                <w:sz w:val="24"/>
                <w:szCs w:val="24"/>
                <w:lang w:val="en-US" w:eastAsia="zh-CN"/>
              </w:rPr>
              <w:t xml:space="preserve">             </w:t>
            </w:r>
          </w:p>
          <w:p>
            <w:pPr>
              <w:jc w:val="both"/>
              <w:rPr>
                <w:rFonts w:hint="eastAsia"/>
                <w:sz w:val="24"/>
                <w:szCs w:val="24"/>
                <w:lang w:val="en-US" w:eastAsia="zh-CN"/>
              </w:rPr>
            </w:pPr>
          </w:p>
          <w:p>
            <w:pPr>
              <w:jc w:val="both"/>
              <w:rPr>
                <w:rFonts w:hint="eastAsia"/>
                <w:sz w:val="24"/>
                <w:szCs w:val="24"/>
                <w:lang w:val="en-US" w:eastAsia="zh-CN"/>
              </w:rPr>
            </w:pPr>
          </w:p>
          <w:p>
            <w:pPr>
              <w:spacing w:line="480" w:lineRule="auto"/>
              <w:ind w:firstLine="2880" w:firstLineChars="1200"/>
              <w:jc w:val="both"/>
              <w:rPr>
                <w:rFonts w:hint="eastAsia" w:eastAsia="宋体"/>
                <w:sz w:val="24"/>
                <w:szCs w:val="24"/>
                <w:lang w:val="en-US" w:eastAsia="zh-CN"/>
              </w:rPr>
            </w:pPr>
            <w:r>
              <w:rPr>
                <w:rFonts w:hint="eastAsia"/>
                <w:sz w:val="24"/>
                <w:szCs w:val="24"/>
              </w:rPr>
              <w:t>评价人</w:t>
            </w:r>
            <w:r>
              <w:rPr>
                <w:rFonts w:hint="eastAsia"/>
                <w:sz w:val="24"/>
                <w:szCs w:val="24"/>
                <w:lang w:eastAsia="zh-CN"/>
              </w:rPr>
              <w:t>：</w:t>
            </w:r>
            <w:r>
              <w:rPr>
                <w:rFonts w:hint="eastAsia"/>
                <w:sz w:val="24"/>
                <w:szCs w:val="24"/>
                <w:lang w:val="en-US" w:eastAsia="zh-CN"/>
              </w:rPr>
              <w:t>戎丽维</w:t>
            </w:r>
          </w:p>
          <w:p>
            <w:pPr>
              <w:spacing w:line="480" w:lineRule="auto"/>
              <w:jc w:val="both"/>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rFonts w:hint="eastAsia"/>
                <w:sz w:val="24"/>
                <w:szCs w:val="24"/>
                <w:lang w:val="en-US" w:eastAsia="zh-CN"/>
              </w:rPr>
              <w:t xml:space="preserve"> </w:t>
            </w:r>
            <w:r>
              <w:rPr>
                <w:rFonts w:hint="eastAsia"/>
                <w:sz w:val="24"/>
                <w:szCs w:val="24"/>
              </w:rPr>
              <w:t>20</w:t>
            </w:r>
            <w:r>
              <w:rPr>
                <w:rFonts w:hint="eastAsia"/>
                <w:sz w:val="24"/>
                <w:szCs w:val="24"/>
                <w:lang w:val="en-US" w:eastAsia="zh-CN"/>
              </w:rPr>
              <w:t>21</w:t>
            </w:r>
            <w:r>
              <w:rPr>
                <w:rFonts w:hint="eastAsia"/>
                <w:sz w:val="24"/>
                <w:szCs w:val="24"/>
              </w:rPr>
              <w:t>年</w:t>
            </w:r>
            <w:r>
              <w:rPr>
                <w:rFonts w:hint="eastAsia"/>
                <w:sz w:val="24"/>
                <w:szCs w:val="24"/>
                <w:lang w:val="en-US" w:eastAsia="zh-CN"/>
              </w:rPr>
              <w:t>2</w:t>
            </w:r>
            <w:r>
              <w:rPr>
                <w:rFonts w:hint="eastAsia"/>
                <w:sz w:val="24"/>
                <w:szCs w:val="24"/>
              </w:rPr>
              <w:t>月</w:t>
            </w:r>
            <w:r>
              <w:rPr>
                <w:rFonts w:hint="eastAsia"/>
                <w:sz w:val="24"/>
                <w:szCs w:val="24"/>
                <w:lang w:val="en-US" w:eastAsia="zh-CN"/>
              </w:rPr>
              <w:t>28</w:t>
            </w:r>
            <w:r>
              <w:rPr>
                <w:rFonts w:hint="eastAsia"/>
                <w:sz w:val="24"/>
                <w:szCs w:val="24"/>
              </w:rPr>
              <w:t>日</w:t>
            </w:r>
          </w:p>
          <w:p>
            <w:pPr>
              <w:jc w:val="both"/>
              <w:rPr>
                <w:rFonts w:hint="eastAsia"/>
                <w:sz w:val="24"/>
                <w:szCs w:val="24"/>
              </w:rPr>
            </w:pPr>
          </w:p>
        </w:tc>
      </w:tr>
    </w:tbl>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44"/>
          <w:szCs w:val="44"/>
        </w:rPr>
      </w:pPr>
    </w:p>
    <w:p>
      <w:pPr>
        <w:spacing w:line="420" w:lineRule="exact"/>
        <w:jc w:val="center"/>
        <w:rPr>
          <w:rFonts w:hint="eastAsia"/>
          <w:b/>
          <w:w w:val="90"/>
          <w:sz w:val="24"/>
        </w:rPr>
      </w:pPr>
      <w:r>
        <w:rPr>
          <w:rFonts w:hint="eastAsia"/>
          <w:b/>
          <w:w w:val="90"/>
          <w:sz w:val="44"/>
          <w:szCs w:val="44"/>
        </w:rPr>
        <w:t>致相关方的公开信</w:t>
      </w:r>
    </w:p>
    <w:p>
      <w:pPr>
        <w:spacing w:line="360" w:lineRule="exact"/>
        <w:rPr>
          <w:rFonts w:hint="eastAsia" w:ascii="宋体" w:hAnsi="宋体"/>
          <w:w w:val="90"/>
          <w:sz w:val="24"/>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olor w:val="auto"/>
          <w:sz w:val="24"/>
        </w:rPr>
      </w:pPr>
      <w:r>
        <w:rPr>
          <w:rFonts w:hint="eastAsia" w:ascii="仿宋_GB2312" w:hAnsi="宋体" w:eastAsia="仿宋_GB2312"/>
          <w:color w:val="auto"/>
          <w:sz w:val="24"/>
        </w:rPr>
        <w:t>尊敬的</w:t>
      </w:r>
      <w:r>
        <w:rPr>
          <w:rFonts w:hint="eastAsia"/>
          <w:b/>
          <w:bCs/>
          <w:lang w:val="en-US" w:eastAsia="zh-CN"/>
        </w:rPr>
        <w:t>安能物流</w:t>
      </w:r>
      <w:r>
        <w:rPr>
          <w:rFonts w:hint="eastAsia" w:ascii="仿宋_GB2312" w:hAnsi="宋体" w:eastAsia="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exact"/>
        <w:ind w:firstLine="432" w:firstLineChars="200"/>
        <w:textAlignment w:val="auto"/>
        <w:rPr>
          <w:rFonts w:hint="eastAsia" w:ascii="仿宋_GB2312" w:eastAsia="仿宋_GB2312"/>
          <w:color w:val="auto"/>
        </w:rPr>
      </w:pPr>
      <w:r>
        <w:rPr>
          <w:rFonts w:hint="eastAsia" w:ascii="仿宋_GB2312" w:eastAsia="仿宋_GB2312"/>
          <w:color w:val="auto"/>
          <w:w w:val="90"/>
          <w:sz w:val="24"/>
        </w:rPr>
        <w:t>我公司专业从事</w:t>
      </w:r>
      <w:r>
        <w:rPr>
          <w:b w:val="0"/>
          <w:bCs w:val="0"/>
          <w:sz w:val="21"/>
          <w:szCs w:val="21"/>
        </w:rPr>
        <w:t>化工产品（印刷耗材用润版液、清洗剂）、印刷机械设备配件、环保设备</w:t>
      </w:r>
      <w:r>
        <w:rPr>
          <w:sz w:val="21"/>
          <w:szCs w:val="21"/>
        </w:rPr>
        <w:t>的销售</w:t>
      </w:r>
      <w:r>
        <w:rPr>
          <w:rFonts w:hint="eastAsia" w:ascii="仿宋_GB2312" w:eastAsia="仿宋_GB2312"/>
          <w:color w:val="auto"/>
          <w:sz w:val="24"/>
        </w:rPr>
        <w:t>，</w:t>
      </w:r>
      <w:r>
        <w:rPr>
          <w:rFonts w:hint="eastAsia" w:ascii="仿宋_GB2312" w:eastAsia="仿宋_GB2312"/>
          <w:color w:val="auto"/>
          <w:w w:val="90"/>
          <w:sz w:val="24"/>
        </w:rPr>
        <w:t>在以往的经营活动中，得到了贵方的大力支持与合作，谨此表示衷心的感谢！</w:t>
      </w:r>
    </w:p>
    <w:p>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79" w:firstLineChars="222"/>
        <w:textAlignment w:val="auto"/>
        <w:rPr>
          <w:rFonts w:hint="eastAsia" w:ascii="仿宋_GB2312" w:hAnsi="宋体" w:eastAsia="仿宋_GB2312"/>
          <w:color w:val="auto"/>
          <w:w w:val="90"/>
          <w:sz w:val="24"/>
          <w:szCs w:val="28"/>
        </w:rPr>
      </w:pPr>
      <w:r>
        <w:rPr>
          <w:rFonts w:hint="eastAsia" w:ascii="仿宋_GB2312" w:hAnsi="宋体" w:eastAsia="仿宋_GB2312"/>
          <w:color w:val="auto"/>
          <w:w w:val="90"/>
          <w:sz w:val="24"/>
          <w:szCs w:val="28"/>
        </w:rPr>
        <w:t>本公司正在按</w:t>
      </w:r>
      <w:r>
        <w:rPr>
          <w:rFonts w:hint="eastAsia" w:ascii="仿宋_GB2312" w:hAnsi="宋体" w:eastAsia="仿宋_GB2312"/>
          <w:w w:val="90"/>
          <w:sz w:val="24"/>
          <w:szCs w:val="28"/>
        </w:rPr>
        <w:t>GB/T19001-2016、GB/T24001-2016</w:t>
      </w:r>
      <w:r>
        <w:rPr>
          <w:rFonts w:hint="eastAsia" w:ascii="仿宋_GB2312" w:hAnsi="宋体" w:eastAsia="仿宋_GB2312"/>
          <w:w w:val="90"/>
          <w:sz w:val="24"/>
          <w:szCs w:val="28"/>
          <w:lang w:eastAsia="zh-CN"/>
        </w:rPr>
        <w:t>、</w:t>
      </w:r>
      <w:r>
        <w:rPr>
          <w:rFonts w:hint="eastAsia" w:ascii="仿宋_GB2312" w:hAnsi="宋体" w:eastAsia="仿宋_GB2312"/>
          <w:color w:val="auto"/>
          <w:w w:val="90"/>
          <w:sz w:val="24"/>
          <w:szCs w:val="28"/>
          <w:lang w:val="en-US" w:eastAsia="zh-CN"/>
        </w:rPr>
        <w:t>GB/T45001-2020标准</w:t>
      </w:r>
      <w:r>
        <w:rPr>
          <w:rFonts w:hint="eastAsia" w:ascii="仿宋_GB2312" w:hAnsi="宋体" w:eastAsia="仿宋_GB2312"/>
          <w:color w:val="auto"/>
          <w:w w:val="90"/>
          <w:sz w:val="24"/>
          <w:szCs w:val="28"/>
        </w:rPr>
        <w:t>建立并保持</w:t>
      </w:r>
      <w:r>
        <w:rPr>
          <w:rFonts w:hint="eastAsia" w:ascii="仿宋_GB2312" w:hAnsi="宋体" w:eastAsia="仿宋_GB2312"/>
          <w:color w:val="auto"/>
          <w:w w:val="90"/>
          <w:sz w:val="24"/>
          <w:szCs w:val="28"/>
          <w:lang w:val="en-US" w:eastAsia="zh-CN"/>
        </w:rPr>
        <w:t>质量、环境、职业健康</w:t>
      </w:r>
      <w:r>
        <w:rPr>
          <w:rFonts w:hint="eastAsia" w:ascii="仿宋_GB2312" w:hAnsi="宋体" w:eastAsia="仿宋_GB2312"/>
          <w:color w:val="auto"/>
          <w:w w:val="90"/>
          <w:sz w:val="24"/>
          <w:szCs w:val="28"/>
        </w:rPr>
        <w:t>安全管理体系，为共同建立及维护这一体系，特致贵方此公开信。</w:t>
      </w:r>
    </w:p>
    <w:p>
      <w:pPr>
        <w:keepNext w:val="0"/>
        <w:keepLines w:val="0"/>
        <w:pageBreakBefore w:val="0"/>
        <w:widowControl w:val="0"/>
        <w:kinsoku/>
        <w:wordWrap/>
        <w:overflowPunct/>
        <w:topLinePunct w:val="0"/>
        <w:autoSpaceDE/>
        <w:autoSpaceDN/>
        <w:bidi w:val="0"/>
        <w:adjustRightInd/>
        <w:snapToGrid/>
        <w:spacing w:line="360" w:lineRule="exact"/>
        <w:ind w:firstLine="479" w:firstLineChars="222"/>
        <w:textAlignment w:val="auto"/>
        <w:rPr>
          <w:rFonts w:hint="eastAsia"/>
          <w:color w:val="auto"/>
          <w:w w:val="90"/>
          <w:sz w:val="24"/>
          <w:szCs w:val="28"/>
        </w:rPr>
      </w:pPr>
      <w:r>
        <w:rPr>
          <w:rFonts w:hint="eastAsia"/>
          <w:color w:val="auto"/>
          <w:w w:val="90"/>
          <w:sz w:val="24"/>
          <w:szCs w:val="28"/>
        </w:rPr>
        <w:t>本公司的</w:t>
      </w:r>
      <w:r>
        <w:rPr>
          <w:rFonts w:hint="eastAsia"/>
          <w:color w:val="auto"/>
          <w:w w:val="90"/>
          <w:sz w:val="24"/>
          <w:szCs w:val="28"/>
          <w:lang w:val="en-US" w:eastAsia="zh-CN"/>
        </w:rPr>
        <w:t>管理</w:t>
      </w:r>
      <w:r>
        <w:rPr>
          <w:rFonts w:hint="eastAsia"/>
          <w:color w:val="auto"/>
          <w:w w:val="90"/>
          <w:sz w:val="24"/>
          <w:szCs w:val="28"/>
        </w:rPr>
        <w:t>方针：</w:t>
      </w:r>
    </w:p>
    <w:p>
      <w:pPr>
        <w:spacing w:line="400" w:lineRule="exact"/>
        <w:ind w:firstLine="562" w:firstLineChars="200"/>
        <w:rPr>
          <w:rFonts w:hint="eastAsia" w:ascii="宋体" w:hAnsi="宋体"/>
          <w:b/>
          <w:bCs/>
          <w:spacing w:val="20"/>
          <w:sz w:val="24"/>
        </w:rPr>
      </w:pPr>
      <w:r>
        <w:rPr>
          <w:rFonts w:hint="eastAsia" w:ascii="宋体" w:hAnsi="宋体"/>
          <w:b/>
          <w:bCs/>
          <w:spacing w:val="20"/>
          <w:sz w:val="24"/>
        </w:rPr>
        <w:t>质量第一，增强顾客满意</w:t>
      </w:r>
    </w:p>
    <w:p>
      <w:pPr>
        <w:spacing w:line="400" w:lineRule="exact"/>
        <w:ind w:firstLine="562" w:firstLineChars="200"/>
        <w:rPr>
          <w:rFonts w:hint="eastAsia" w:ascii="宋体" w:hAnsi="宋体"/>
          <w:b/>
          <w:bCs/>
          <w:spacing w:val="20"/>
          <w:sz w:val="24"/>
          <w:lang w:val="en-US" w:eastAsia="zh-CN"/>
        </w:rPr>
      </w:pPr>
      <w:r>
        <w:rPr>
          <w:rFonts w:hint="eastAsia" w:ascii="宋体" w:hAnsi="宋体"/>
          <w:b/>
          <w:bCs/>
          <w:spacing w:val="20"/>
          <w:sz w:val="24"/>
        </w:rPr>
        <w:t>科学管理，预防污染，遵守法规</w:t>
      </w:r>
    </w:p>
    <w:p>
      <w:pPr>
        <w:spacing w:line="400" w:lineRule="exact"/>
        <w:ind w:firstLine="562" w:firstLineChars="200"/>
        <w:rPr>
          <w:rFonts w:hint="eastAsia" w:ascii="宋体" w:hAnsi="宋体"/>
          <w:b/>
          <w:bCs/>
          <w:spacing w:val="20"/>
          <w:sz w:val="24"/>
        </w:rPr>
      </w:pPr>
      <w:r>
        <w:rPr>
          <w:rFonts w:hint="eastAsia" w:ascii="宋体" w:hAnsi="宋体"/>
          <w:b/>
          <w:bCs/>
          <w:spacing w:val="20"/>
          <w:sz w:val="24"/>
          <w:lang w:val="en-US" w:eastAsia="zh-CN"/>
        </w:rPr>
        <w:t>安全生产</w:t>
      </w:r>
      <w:r>
        <w:rPr>
          <w:rFonts w:hint="eastAsia" w:ascii="宋体" w:hAnsi="宋体"/>
          <w:b/>
          <w:bCs/>
          <w:spacing w:val="20"/>
          <w:sz w:val="24"/>
        </w:rPr>
        <w:t>，</w:t>
      </w:r>
      <w:r>
        <w:rPr>
          <w:rFonts w:hint="eastAsia" w:ascii="宋体" w:hAnsi="宋体"/>
          <w:b/>
          <w:bCs/>
          <w:spacing w:val="20"/>
          <w:sz w:val="24"/>
          <w:lang w:val="en-US" w:eastAsia="zh-CN"/>
        </w:rPr>
        <w:t>关爱生命</w:t>
      </w:r>
      <w:r>
        <w:rPr>
          <w:rFonts w:hint="eastAsia" w:ascii="宋体" w:hAnsi="宋体"/>
          <w:b/>
          <w:bCs/>
          <w:spacing w:val="20"/>
          <w:sz w:val="24"/>
        </w:rPr>
        <w:t>，确保员工健康</w:t>
      </w: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textAlignment w:val="auto"/>
        <w:rPr>
          <w:rFonts w:hint="eastAsia" w:ascii="宋体" w:hAnsi="宋体" w:eastAsia="宋体"/>
          <w:spacing w:val="20"/>
          <w:sz w:val="24"/>
          <w:lang w:val="en-US" w:eastAsia="zh-CN"/>
        </w:rPr>
      </w:pPr>
      <w:r>
        <w:rPr>
          <w:rFonts w:hint="eastAsia" w:ascii="宋体" w:hAnsi="宋体"/>
          <w:b/>
          <w:bCs/>
          <w:spacing w:val="20"/>
          <w:sz w:val="24"/>
        </w:rPr>
        <w:t>持续改进，满足</w:t>
      </w:r>
      <w:r>
        <w:rPr>
          <w:rFonts w:hint="eastAsia" w:ascii="宋体" w:hAnsi="宋体"/>
          <w:b/>
          <w:bCs/>
          <w:spacing w:val="20"/>
          <w:sz w:val="24"/>
          <w:lang w:val="en-US" w:eastAsia="zh-CN"/>
        </w:rPr>
        <w:t>各</w:t>
      </w:r>
      <w:r>
        <w:rPr>
          <w:rFonts w:hint="eastAsia" w:ascii="宋体" w:hAnsi="宋体"/>
          <w:b/>
          <w:bCs/>
          <w:spacing w:val="20"/>
          <w:sz w:val="24"/>
        </w:rPr>
        <w:t>方需求</w:t>
      </w:r>
      <w:r>
        <w:rPr>
          <w:rFonts w:hint="eastAsia" w:ascii="宋体" w:hAnsi="宋体"/>
          <w:b/>
          <w:bCs/>
          <w:spacing w:val="20"/>
          <w:sz w:val="24"/>
          <w:lang w:val="en-US" w:eastAsia="zh-CN"/>
        </w:rPr>
        <w:t>.</w:t>
      </w:r>
    </w:p>
    <w:p>
      <w:pPr>
        <w:spacing w:line="360" w:lineRule="exact"/>
        <w:ind w:firstLine="479" w:firstLineChars="222"/>
        <w:rPr>
          <w:w w:val="90"/>
          <w:sz w:val="24"/>
          <w:szCs w:val="28"/>
        </w:rPr>
      </w:pPr>
      <w:r>
        <w:rPr>
          <w:rFonts w:hint="eastAsia"/>
          <w:w w:val="90"/>
          <w:sz w:val="24"/>
          <w:szCs w:val="28"/>
        </w:rPr>
        <w:t>环境保护是每个企业进行经营活动和服务时都必须考虑的问题。我们认识到，与其他相关组织一起，节约资源与能源，保护生态、保护环境是我们共同的责任。</w:t>
      </w:r>
    </w:p>
    <w:p>
      <w:pPr>
        <w:spacing w:line="360" w:lineRule="exact"/>
        <w:ind w:firstLine="479" w:firstLineChars="222"/>
        <w:rPr>
          <w:w w:val="90"/>
          <w:sz w:val="24"/>
          <w:szCs w:val="28"/>
        </w:rPr>
      </w:pPr>
      <w:r>
        <w:rPr>
          <w:rFonts w:hint="eastAsia"/>
          <w:w w:val="90"/>
          <w:sz w:val="24"/>
          <w:szCs w:val="28"/>
        </w:rPr>
        <w:t>因此，在积极推进公司经济许可范围内的环境保护行动的同时，为了加强与贵公司、相关方在环境保护、职业健康安全方面的合作，实现污染预防以及环境行为的持续改进，对商品、服务供应商及其它相关方特作出以下要求：</w:t>
      </w:r>
    </w:p>
    <w:p>
      <w:pPr>
        <w:spacing w:line="360" w:lineRule="exact"/>
        <w:ind w:firstLine="429" w:firstLineChars="199"/>
        <w:rPr>
          <w:w w:val="90"/>
          <w:sz w:val="24"/>
          <w:szCs w:val="28"/>
        </w:rPr>
      </w:pPr>
      <w:r>
        <w:rPr>
          <w:rFonts w:hint="eastAsia"/>
          <w:w w:val="90"/>
          <w:sz w:val="24"/>
          <w:szCs w:val="28"/>
        </w:rPr>
        <w:t>1、所提供的设备、产品、服务过程应满足（或设法满足）国家、地方、行业的有关环境保护的法律、法规及我公司质量管理体系、环境管理体系、职业健康安全管理体系有关方面的要求。</w:t>
      </w:r>
    </w:p>
    <w:p>
      <w:pPr>
        <w:spacing w:line="360" w:lineRule="exact"/>
        <w:ind w:firstLine="371" w:firstLineChars="172"/>
        <w:rPr>
          <w:w w:val="90"/>
          <w:sz w:val="24"/>
          <w:szCs w:val="28"/>
        </w:rPr>
      </w:pPr>
      <w:r>
        <w:rPr>
          <w:rFonts w:hint="eastAsia"/>
          <w:w w:val="90"/>
          <w:sz w:val="24"/>
          <w:szCs w:val="28"/>
        </w:rPr>
        <w:t>2、节约能源和资源，努力实现能源资源消耗最小化，对包装物等尽可能回收或再生利用。</w:t>
      </w:r>
    </w:p>
    <w:p>
      <w:pPr>
        <w:spacing w:line="360" w:lineRule="exact"/>
        <w:ind w:firstLine="429" w:firstLineChars="199"/>
        <w:rPr>
          <w:w w:val="90"/>
          <w:sz w:val="24"/>
          <w:szCs w:val="28"/>
        </w:rPr>
      </w:pPr>
      <w:r>
        <w:rPr>
          <w:rFonts w:hint="eastAsia"/>
          <w:w w:val="90"/>
          <w:sz w:val="24"/>
          <w:szCs w:val="28"/>
        </w:rPr>
        <w:t>3、在产品生产过程中，不得使用对人体有害的材料和工艺，应优先考虑采用无污染或少污染材料、生产工艺、生产设备、先进的生产方法等，不得采用国家或地方已禁止使用的材料、生产工艺、生产设备。</w:t>
      </w:r>
    </w:p>
    <w:p>
      <w:pPr>
        <w:spacing w:line="360" w:lineRule="exact"/>
        <w:ind w:firstLine="429" w:firstLineChars="199"/>
        <w:rPr>
          <w:w w:val="90"/>
          <w:sz w:val="24"/>
          <w:szCs w:val="28"/>
        </w:rPr>
      </w:pPr>
      <w:r>
        <w:rPr>
          <w:rFonts w:hint="eastAsia"/>
          <w:w w:val="90"/>
          <w:sz w:val="24"/>
          <w:szCs w:val="28"/>
        </w:rPr>
        <w:t>4、为了督促相关方的环境保护及人身安全保护行为，本公司将对需重点施加环境和安全影响的相关方进行督促检查、验证。</w:t>
      </w:r>
    </w:p>
    <w:p>
      <w:pPr>
        <w:spacing w:line="360" w:lineRule="exact"/>
        <w:ind w:firstLine="429" w:firstLineChars="199"/>
        <w:rPr>
          <w:w w:val="90"/>
          <w:sz w:val="24"/>
          <w:szCs w:val="28"/>
        </w:rPr>
      </w:pPr>
      <w:r>
        <w:rPr>
          <w:rFonts w:hint="eastAsia"/>
          <w:w w:val="90"/>
          <w:sz w:val="24"/>
          <w:szCs w:val="28"/>
        </w:rPr>
        <w:t>对不符合要求的相关方，本公司将提出整改意见及其它措施以施加影响。</w:t>
      </w:r>
    </w:p>
    <w:p>
      <w:pPr>
        <w:spacing w:line="360" w:lineRule="exact"/>
        <w:ind w:firstLine="429" w:firstLineChars="199"/>
        <w:rPr>
          <w:w w:val="90"/>
          <w:sz w:val="24"/>
          <w:szCs w:val="28"/>
        </w:rPr>
      </w:pPr>
      <w:r>
        <w:rPr>
          <w:rFonts w:hint="eastAsia"/>
          <w:w w:val="90"/>
          <w:sz w:val="24"/>
          <w:szCs w:val="28"/>
        </w:rPr>
        <w:t>为了实现可持续发展，我们期望所采取的旨在保护环境和人身安全的活动得到各相方的支持与配合。</w:t>
      </w:r>
    </w:p>
    <w:p>
      <w:pPr>
        <w:spacing w:line="360" w:lineRule="exact"/>
        <w:ind w:firstLine="429" w:firstLineChars="199"/>
        <w:rPr>
          <w:w w:val="90"/>
          <w:sz w:val="24"/>
          <w:szCs w:val="28"/>
        </w:rPr>
      </w:pPr>
      <w:r>
        <w:rPr>
          <w:rFonts w:hint="eastAsia"/>
          <w:w w:val="90"/>
          <w:sz w:val="24"/>
          <w:szCs w:val="28"/>
        </w:rPr>
        <w:t xml:space="preserve">本公司通过此公开信形式，将本公司质量/环境/职业健康安全管理方针告之贵方，希望贵方人员进入本公司工作场所时，遵守相关的质量/环境安全方面的规章制度，贵方如有建议或要求请告之，我公司会加以关注并及时将处理结果告之贵方。 </w:t>
      </w:r>
    </w:p>
    <w:p>
      <w:pPr>
        <w:spacing w:line="360" w:lineRule="exact"/>
        <w:ind w:firstLine="432" w:firstLineChars="200"/>
        <w:rPr>
          <w:w w:val="90"/>
          <w:sz w:val="24"/>
          <w:szCs w:val="28"/>
        </w:rPr>
      </w:pPr>
      <w:r>
        <w:rPr>
          <w:rFonts w:hint="eastAsia"/>
          <w:w w:val="90"/>
          <w:sz w:val="24"/>
          <w:szCs w:val="28"/>
        </w:rPr>
        <w:t>感谢你们的理解与支持！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w w:val="90"/>
          <w:sz w:val="24"/>
          <w:szCs w:val="28"/>
        </w:rPr>
      </w:pPr>
    </w:p>
    <w:p>
      <w:pPr>
        <w:pStyle w:val="3"/>
        <w:rPr>
          <w:rFonts w:hint="eastAsia"/>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sz w:val="28"/>
          <w:szCs w:val="28"/>
          <w:lang w:val="en-US" w:eastAsia="zh-CN"/>
        </w:rPr>
      </w:pPr>
      <w:r>
        <w:rPr>
          <w:rFonts w:hint="eastAsia"/>
          <w:color w:val="auto"/>
          <w:w w:val="90"/>
          <w:sz w:val="24"/>
          <w:szCs w:val="28"/>
        </w:rPr>
        <w:t xml:space="preserve">                                   </w:t>
      </w:r>
      <w:r>
        <w:rPr>
          <w:rFonts w:hint="eastAsia"/>
          <w:color w:val="auto"/>
          <w:w w:val="90"/>
          <w:sz w:val="28"/>
          <w:szCs w:val="28"/>
        </w:rPr>
        <w:t xml:space="preserve"> </w:t>
      </w:r>
      <w:r>
        <w:rPr>
          <w:rFonts w:hint="eastAsia" w:ascii="微软雅黑" w:hAnsi="微软雅黑" w:eastAsia="微软雅黑" w:cs="微软雅黑"/>
          <w:sz w:val="28"/>
          <w:szCs w:val="28"/>
          <w:lang w:val="en-US" w:eastAsia="zh-CN"/>
        </w:rPr>
        <w:t>颖高环保科技石家庄有限公司</w:t>
      </w:r>
    </w:p>
    <w:p>
      <w:pPr>
        <w:rPr>
          <w:rFonts w:hint="eastAsia"/>
          <w:color w:val="auto"/>
          <w:w w:val="90"/>
          <w:sz w:val="24"/>
          <w:szCs w:val="28"/>
        </w:rPr>
      </w:pPr>
      <w:r>
        <w:rPr>
          <w:rFonts w:hint="eastAsia"/>
          <w:color w:val="auto"/>
          <w:w w:val="90"/>
          <w:sz w:val="24"/>
          <w:szCs w:val="28"/>
        </w:rPr>
        <w:t xml:space="preserve">                                                 </w:t>
      </w:r>
      <w:r>
        <w:rPr>
          <w:rFonts w:hint="eastAsia"/>
          <w:color w:val="auto"/>
          <w:w w:val="90"/>
          <w:sz w:val="24"/>
          <w:szCs w:val="28"/>
          <w:lang w:val="en-US" w:eastAsia="zh-CN"/>
        </w:rPr>
        <w:t xml:space="preserve">     </w:t>
      </w:r>
      <w:r>
        <w:rPr>
          <w:rFonts w:hint="eastAsia"/>
          <w:color w:val="auto"/>
          <w:w w:val="90"/>
          <w:sz w:val="24"/>
          <w:szCs w:val="28"/>
        </w:rPr>
        <w:t>20</w:t>
      </w:r>
      <w:r>
        <w:rPr>
          <w:rFonts w:hint="eastAsia"/>
          <w:color w:val="auto"/>
          <w:w w:val="90"/>
          <w:sz w:val="24"/>
          <w:szCs w:val="28"/>
          <w:lang w:val="en-US" w:eastAsia="zh-CN"/>
        </w:rPr>
        <w:t>21</w:t>
      </w:r>
      <w:r>
        <w:rPr>
          <w:rFonts w:hint="eastAsia"/>
          <w:color w:val="auto"/>
          <w:w w:val="90"/>
          <w:sz w:val="24"/>
          <w:szCs w:val="28"/>
        </w:rPr>
        <w:t>年</w:t>
      </w:r>
      <w:r>
        <w:rPr>
          <w:rFonts w:hint="eastAsia"/>
          <w:color w:val="auto"/>
          <w:w w:val="90"/>
          <w:sz w:val="24"/>
          <w:szCs w:val="28"/>
          <w:lang w:val="en-US" w:eastAsia="zh-CN"/>
        </w:rPr>
        <w:t>2</w:t>
      </w:r>
      <w:r>
        <w:rPr>
          <w:rFonts w:hint="eastAsia"/>
          <w:color w:val="auto"/>
          <w:w w:val="90"/>
          <w:sz w:val="24"/>
          <w:szCs w:val="28"/>
        </w:rPr>
        <w:t>月</w:t>
      </w:r>
      <w:r>
        <w:rPr>
          <w:rFonts w:hint="eastAsia"/>
          <w:color w:val="auto"/>
          <w:w w:val="90"/>
          <w:sz w:val="24"/>
          <w:szCs w:val="28"/>
          <w:lang w:val="en-US" w:eastAsia="zh-CN"/>
        </w:rPr>
        <w:t>28</w:t>
      </w:r>
      <w:r>
        <w:rPr>
          <w:rFonts w:hint="eastAsia"/>
          <w:color w:val="auto"/>
          <w:w w:val="90"/>
          <w:sz w:val="24"/>
          <w:szCs w:val="28"/>
        </w:rPr>
        <w:t>日</w:t>
      </w:r>
    </w:p>
    <w:p>
      <w:pPr>
        <w:rPr>
          <w:rFonts w:hint="eastAsia"/>
          <w:color w:val="auto"/>
          <w:w w:val="90"/>
          <w:sz w:val="24"/>
          <w:szCs w:val="28"/>
        </w:rPr>
      </w:pPr>
    </w:p>
    <w:p>
      <w:pPr>
        <w:rPr>
          <w:rFonts w:hint="eastAsia"/>
          <w:color w:val="auto"/>
          <w:w w:val="90"/>
          <w:sz w:val="24"/>
          <w:szCs w:val="28"/>
        </w:rPr>
      </w:pPr>
    </w:p>
    <w:p>
      <w:pPr>
        <w:rPr>
          <w:rFonts w:hint="eastAsia"/>
          <w:color w:val="auto"/>
          <w:w w:val="90"/>
          <w:sz w:val="24"/>
          <w:szCs w:val="28"/>
        </w:rPr>
      </w:pPr>
    </w:p>
    <w:p>
      <w:pPr>
        <w:rPr>
          <w:rFonts w:hint="eastAsia"/>
          <w:color w:val="auto"/>
          <w:w w:val="90"/>
          <w:sz w:val="24"/>
          <w:szCs w:val="28"/>
        </w:rPr>
      </w:pPr>
    </w:p>
    <w:p>
      <w:pPr>
        <w:jc w:val="center"/>
        <w:rPr>
          <w:rFonts w:hint="eastAsia"/>
          <w:b/>
          <w:sz w:val="36"/>
          <w:szCs w:val="36"/>
        </w:rPr>
      </w:pPr>
      <w:r>
        <w:rPr>
          <w:rFonts w:hint="eastAsia"/>
          <w:b/>
          <w:sz w:val="36"/>
          <w:szCs w:val="36"/>
        </w:rPr>
        <w:t>供方评价记录表</w:t>
      </w:r>
    </w:p>
    <w:p>
      <w:pPr>
        <w:spacing w:line="360" w:lineRule="auto"/>
        <w:rPr>
          <w:rFonts w:hint="eastAsia"/>
        </w:rPr>
      </w:pPr>
      <w:r>
        <w:rPr>
          <w:rFonts w:hint="eastAsia"/>
          <w:sz w:val="24"/>
          <w:szCs w:val="21"/>
        </w:rPr>
        <w:t xml:space="preserve">   </w:t>
      </w:r>
      <w:r>
        <w:rPr>
          <w:rFonts w:hint="eastAsia" w:ascii="宋体" w:hAnsi="宋体"/>
          <w:color w:val="000000"/>
          <w:sz w:val="24"/>
        </w:rPr>
        <w:t xml:space="preserve"> </w:t>
      </w:r>
      <w:r>
        <w:rPr>
          <w:rFonts w:hint="eastAsia"/>
        </w:rPr>
        <w:t xml:space="preserve">                                                      序号：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894"/>
        <w:gridCol w:w="3066"/>
        <w:gridCol w:w="14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供方名称</w:t>
            </w:r>
          </w:p>
        </w:tc>
        <w:tc>
          <w:tcPr>
            <w:tcW w:w="3960" w:type="dxa"/>
            <w:gridSpan w:val="2"/>
            <w:noWrap w:val="0"/>
            <w:vAlign w:val="top"/>
          </w:tcPr>
          <w:p>
            <w:pPr>
              <w:spacing w:line="360" w:lineRule="auto"/>
              <w:jc w:val="center"/>
              <w:rPr>
                <w:rFonts w:hint="default" w:eastAsia="宋体"/>
                <w:sz w:val="24"/>
                <w:lang w:val="en-US" w:eastAsia="zh-CN"/>
              </w:rPr>
            </w:pPr>
            <w:r>
              <w:rPr>
                <w:rFonts w:hint="eastAsia"/>
                <w:szCs w:val="21"/>
                <w:lang w:val="en-US" w:eastAsia="zh-CN"/>
              </w:rPr>
              <w:t>安能物流</w:t>
            </w:r>
          </w:p>
        </w:tc>
        <w:tc>
          <w:tcPr>
            <w:tcW w:w="1440" w:type="dxa"/>
            <w:noWrap w:val="0"/>
            <w:vAlign w:val="top"/>
          </w:tcPr>
          <w:p>
            <w:pPr>
              <w:spacing w:line="360" w:lineRule="auto"/>
              <w:jc w:val="center"/>
              <w:rPr>
                <w:rFonts w:hint="eastAsia"/>
                <w:sz w:val="24"/>
              </w:rPr>
            </w:pPr>
            <w:r>
              <w:rPr>
                <w:rFonts w:hint="eastAsia"/>
                <w:sz w:val="24"/>
              </w:rPr>
              <w:t>电话/传真</w:t>
            </w:r>
          </w:p>
        </w:tc>
        <w:tc>
          <w:tcPr>
            <w:tcW w:w="2340" w:type="dxa"/>
            <w:noWrap w:val="0"/>
            <w:vAlign w:val="top"/>
          </w:tcPr>
          <w:p>
            <w:pPr>
              <w:spacing w:line="360" w:lineRule="auto"/>
              <w:jc w:val="center"/>
              <w:rPr>
                <w:rFonts w:hint="eastAsia" w:eastAsia="宋体"/>
                <w:sz w:val="24"/>
                <w:lang w:eastAsia="zh-CN"/>
              </w:rPr>
            </w:pPr>
            <w:r>
              <w:rPr>
                <w:rFonts w:hint="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地址/邮编</w:t>
            </w:r>
          </w:p>
        </w:tc>
        <w:tc>
          <w:tcPr>
            <w:tcW w:w="3960" w:type="dxa"/>
            <w:gridSpan w:val="2"/>
            <w:noWrap w:val="0"/>
            <w:vAlign w:val="top"/>
          </w:tcPr>
          <w:p>
            <w:pPr>
              <w:spacing w:line="360" w:lineRule="auto"/>
              <w:jc w:val="center"/>
              <w:rPr>
                <w:rFonts w:hint="default" w:eastAsia="宋体"/>
                <w:sz w:val="24"/>
                <w:lang w:val="en-US" w:eastAsia="zh-CN"/>
              </w:rPr>
            </w:pPr>
            <w:r>
              <w:rPr>
                <w:rFonts w:hint="eastAsia" w:ascii="Times New Roman" w:hAnsi="Times New Roman" w:cs="Times New Roman"/>
                <w:szCs w:val="21"/>
                <w:lang w:val="en-US" w:eastAsia="zh-CN"/>
              </w:rPr>
              <w:t>/</w:t>
            </w:r>
          </w:p>
        </w:tc>
        <w:tc>
          <w:tcPr>
            <w:tcW w:w="1440" w:type="dxa"/>
            <w:noWrap w:val="0"/>
            <w:vAlign w:val="top"/>
          </w:tcPr>
          <w:p>
            <w:pPr>
              <w:spacing w:line="360" w:lineRule="auto"/>
              <w:jc w:val="center"/>
              <w:rPr>
                <w:rFonts w:hint="eastAsia"/>
                <w:sz w:val="24"/>
              </w:rPr>
            </w:pPr>
            <w:r>
              <w:rPr>
                <w:rFonts w:hint="eastAsia"/>
                <w:sz w:val="24"/>
              </w:rPr>
              <w:t>联系人</w:t>
            </w:r>
          </w:p>
        </w:tc>
        <w:tc>
          <w:tcPr>
            <w:tcW w:w="2340" w:type="dxa"/>
            <w:noWrap w:val="0"/>
            <w:vAlign w:val="top"/>
          </w:tcPr>
          <w:p>
            <w:pPr>
              <w:spacing w:line="360" w:lineRule="auto"/>
              <w:jc w:val="center"/>
              <w:rPr>
                <w:rFonts w:hint="eastAsia" w:eastAsia="宋体"/>
                <w:sz w:val="24"/>
                <w:lang w:eastAsia="zh-CN"/>
              </w:rPr>
            </w:pPr>
            <w:r>
              <w:rPr>
                <w:rFonts w:hint="eastAsia"/>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pacing w:line="360" w:lineRule="auto"/>
              <w:jc w:val="center"/>
              <w:rPr>
                <w:rFonts w:hint="eastAsia"/>
                <w:sz w:val="24"/>
              </w:rPr>
            </w:pPr>
            <w:r>
              <w:rPr>
                <w:rFonts w:hint="eastAsia"/>
                <w:sz w:val="24"/>
              </w:rPr>
              <w:t>提供产品</w:t>
            </w:r>
          </w:p>
        </w:tc>
        <w:tc>
          <w:tcPr>
            <w:tcW w:w="7740" w:type="dxa"/>
            <w:gridSpan w:val="4"/>
            <w:noWrap w:val="0"/>
            <w:vAlign w:val="top"/>
          </w:tcPr>
          <w:p>
            <w:pPr>
              <w:spacing w:line="360" w:lineRule="auto"/>
              <w:jc w:val="center"/>
              <w:rPr>
                <w:rFonts w:hint="default" w:eastAsia="宋体"/>
                <w:sz w:val="24"/>
                <w:lang w:val="en-US" w:eastAsia="zh-CN"/>
              </w:rPr>
            </w:pPr>
            <w:r>
              <w:rPr>
                <w:rFonts w:hint="eastAsia"/>
                <w:szCs w:val="21"/>
                <w:lang w:val="en-US" w:eastAsia="zh-CN"/>
              </w:rPr>
              <w:t>运输服务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648" w:type="dxa"/>
            <w:gridSpan w:val="5"/>
            <w:noWrap w:val="0"/>
            <w:vAlign w:val="center"/>
          </w:tcPr>
          <w:p>
            <w:pPr>
              <w:spacing w:line="360" w:lineRule="auto"/>
              <w:jc w:val="center"/>
              <w:rPr>
                <w:rFonts w:hint="eastAsia"/>
                <w:sz w:val="24"/>
              </w:rPr>
            </w:pPr>
            <w:r>
              <w:rPr>
                <w:rFonts w:hint="eastAsia"/>
                <w:sz w:val="24"/>
              </w:rPr>
              <w:t>供方质量保证能力评价记录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质量体系</w:t>
            </w:r>
          </w:p>
          <w:p>
            <w:pPr>
              <w:spacing w:line="360" w:lineRule="auto"/>
              <w:jc w:val="center"/>
              <w:rPr>
                <w:rFonts w:hint="eastAsia"/>
                <w:sz w:val="24"/>
              </w:rPr>
            </w:pPr>
            <w:r>
              <w:rPr>
                <w:rFonts w:hint="eastAsia"/>
                <w:sz w:val="24"/>
              </w:rPr>
              <w:t>认证情况</w:t>
            </w:r>
          </w:p>
        </w:tc>
        <w:tc>
          <w:tcPr>
            <w:tcW w:w="6846" w:type="dxa"/>
            <w:gridSpan w:val="3"/>
            <w:noWrap w:val="0"/>
            <w:vAlign w:val="center"/>
          </w:tcPr>
          <w:p>
            <w:pPr>
              <w:spacing w:line="360" w:lineRule="auto"/>
              <w:rPr>
                <w:rFonts w:hint="eastAsia"/>
                <w:sz w:val="24"/>
              </w:rPr>
            </w:pPr>
            <w:r>
              <w:rPr>
                <w:rFonts w:hint="eastAsia" w:ascii="宋体" w:hAnsi="宋体" w:cs="宋体"/>
                <w:sz w:val="24"/>
              </w:rPr>
              <w:t>■</w:t>
            </w:r>
            <w:r>
              <w:rPr>
                <w:rFonts w:hint="eastAsia"/>
                <w:sz w:val="24"/>
                <w:lang w:eastAsia="zh-CN"/>
              </w:rPr>
              <w:t>☑</w:t>
            </w:r>
            <w:r>
              <w:rPr>
                <w:rFonts w:hint="eastAsia"/>
                <w:sz w:val="24"/>
              </w:rPr>
              <w:t>已通过   □未通过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生产能力和供应能力情况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能及时供应所需</w:t>
            </w:r>
            <w:r>
              <w:rPr>
                <w:rFonts w:hint="eastAsia"/>
                <w:sz w:val="24"/>
                <w:lang w:val="en-US" w:eastAsia="zh-CN"/>
              </w:rPr>
              <w:t>服务</w:t>
            </w:r>
            <w:r>
              <w:rPr>
                <w:rFonts w:hint="eastAsia"/>
                <w:sz w:val="24"/>
              </w:rPr>
              <w:t xml:space="preserve">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gridSpan w:val="2"/>
            <w:noWrap w:val="0"/>
            <w:vAlign w:val="center"/>
          </w:tcPr>
          <w:p>
            <w:pPr>
              <w:spacing w:line="360" w:lineRule="auto"/>
              <w:jc w:val="center"/>
              <w:rPr>
                <w:rFonts w:hint="eastAsia"/>
                <w:sz w:val="24"/>
              </w:rPr>
            </w:pPr>
            <w:r>
              <w:rPr>
                <w:rFonts w:hint="eastAsia"/>
                <w:sz w:val="24"/>
              </w:rPr>
              <w:t>历史及社会</w:t>
            </w:r>
          </w:p>
          <w:p>
            <w:pPr>
              <w:spacing w:line="360" w:lineRule="auto"/>
              <w:jc w:val="center"/>
              <w:rPr>
                <w:rFonts w:hint="eastAsia"/>
                <w:sz w:val="24"/>
              </w:rPr>
            </w:pPr>
            <w:r>
              <w:rPr>
                <w:rFonts w:hint="eastAsia"/>
                <w:sz w:val="24"/>
              </w:rPr>
              <w:t>信誉情况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良好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802" w:type="dxa"/>
            <w:gridSpan w:val="2"/>
            <w:noWrap w:val="0"/>
            <w:vAlign w:val="center"/>
          </w:tcPr>
          <w:p>
            <w:pPr>
              <w:spacing w:line="360" w:lineRule="auto"/>
              <w:jc w:val="center"/>
              <w:rPr>
                <w:rFonts w:hint="eastAsia"/>
                <w:sz w:val="24"/>
              </w:rPr>
            </w:pPr>
            <w:r>
              <w:rPr>
                <w:rFonts w:hint="eastAsia"/>
                <w:sz w:val="24"/>
              </w:rPr>
              <w:t>质量及以往 使用情况</w:t>
            </w:r>
          </w:p>
        </w:tc>
        <w:tc>
          <w:tcPr>
            <w:tcW w:w="6846" w:type="dxa"/>
            <w:gridSpan w:val="3"/>
            <w:noWrap w:val="0"/>
            <w:vAlign w:val="center"/>
          </w:tcPr>
          <w:p>
            <w:pPr>
              <w:spacing w:line="360" w:lineRule="auto"/>
              <w:rPr>
                <w:sz w:val="24"/>
              </w:rPr>
            </w:pPr>
            <w:r>
              <w:rPr>
                <w:rFonts w:hint="eastAsia" w:ascii="宋体" w:hAnsi="宋体" w:cs="宋体"/>
                <w:sz w:val="24"/>
              </w:rPr>
              <w:t>■</w:t>
            </w:r>
            <w:r>
              <w:rPr>
                <w:rFonts w:hint="eastAsia"/>
                <w:sz w:val="24"/>
              </w:rPr>
              <w:t>质量稳定      □一般      □较差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4"/>
              </w:rPr>
            </w:pPr>
            <w:r>
              <w:rPr>
                <w:rFonts w:hint="eastAsia"/>
                <w:sz w:val="24"/>
              </w:rPr>
              <w:t>主管部门对该单位的推荐意见：</w:t>
            </w:r>
          </w:p>
          <w:p>
            <w:pPr>
              <w:spacing w:line="360" w:lineRule="auto"/>
              <w:jc w:val="left"/>
              <w:rPr>
                <w:rFonts w:hint="eastAsia"/>
                <w:sz w:val="24"/>
              </w:rPr>
            </w:pPr>
            <w:r>
              <w:rPr>
                <w:rFonts w:hint="eastAsia"/>
                <w:sz w:val="24"/>
              </w:rPr>
              <w:t xml:space="preserve">   与该公司合作多年，未发生</w:t>
            </w:r>
            <w:r>
              <w:rPr>
                <w:rFonts w:hint="eastAsia"/>
                <w:sz w:val="24"/>
                <w:lang w:val="en-US" w:eastAsia="zh-CN"/>
              </w:rPr>
              <w:t>货物丢失情况</w:t>
            </w:r>
            <w:r>
              <w:rPr>
                <w:rFonts w:hint="eastAsia"/>
                <w:sz w:val="24"/>
              </w:rPr>
              <w:t>，</w:t>
            </w:r>
            <w:r>
              <w:rPr>
                <w:rFonts w:hint="eastAsia"/>
                <w:sz w:val="24"/>
                <w:lang w:val="en-US" w:eastAsia="zh-CN"/>
              </w:rPr>
              <w:t>且快速准时，</w:t>
            </w:r>
            <w:r>
              <w:rPr>
                <w:rFonts w:hint="eastAsia"/>
                <w:sz w:val="24"/>
              </w:rPr>
              <w:t>符合我公司要求。</w:t>
            </w:r>
          </w:p>
          <w:p>
            <w:pPr>
              <w:spacing w:line="360" w:lineRule="auto"/>
              <w:jc w:val="left"/>
              <w:rPr>
                <w:rFonts w:hint="eastAsia"/>
                <w:sz w:val="24"/>
              </w:rPr>
            </w:pPr>
            <w:r>
              <w:rPr>
                <w:rFonts w:hint="eastAsia"/>
                <w:sz w:val="24"/>
              </w:rPr>
              <w:t>主管部门负责人：</w:t>
            </w:r>
            <w:r>
              <w:rPr>
                <w:rFonts w:hint="eastAsia"/>
                <w:sz w:val="24"/>
                <w:lang w:val="en-US" w:eastAsia="zh-CN"/>
              </w:rPr>
              <w:t>郝婵娟</w:t>
            </w: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9648" w:type="dxa"/>
            <w:gridSpan w:val="5"/>
            <w:noWrap w:val="0"/>
            <w:vAlign w:val="center"/>
          </w:tcPr>
          <w:p>
            <w:pPr>
              <w:spacing w:line="360" w:lineRule="auto"/>
              <w:jc w:val="left"/>
              <w:rPr>
                <w:rFonts w:hint="eastAsia"/>
                <w:sz w:val="24"/>
              </w:rPr>
            </w:pPr>
            <w:r>
              <w:rPr>
                <w:rFonts w:hint="eastAsia"/>
                <w:sz w:val="24"/>
              </w:rPr>
              <w:t>评审小组意见：</w:t>
            </w:r>
          </w:p>
          <w:p>
            <w:pPr>
              <w:spacing w:line="360" w:lineRule="auto"/>
              <w:jc w:val="left"/>
              <w:rPr>
                <w:rFonts w:hint="eastAsia"/>
                <w:sz w:val="24"/>
              </w:rPr>
            </w:pPr>
            <w:r>
              <w:rPr>
                <w:rFonts w:hint="eastAsia"/>
                <w:sz w:val="24"/>
              </w:rPr>
              <w:t>该公司</w:t>
            </w:r>
            <w:r>
              <w:rPr>
                <w:rFonts w:hint="eastAsia"/>
                <w:sz w:val="24"/>
                <w:lang w:val="en-US" w:eastAsia="zh-CN"/>
              </w:rPr>
              <w:t>服务</w:t>
            </w:r>
            <w:r>
              <w:rPr>
                <w:rFonts w:hint="eastAsia"/>
                <w:sz w:val="24"/>
              </w:rPr>
              <w:t>价格合理，质量可靠，</w:t>
            </w:r>
            <w:r>
              <w:rPr>
                <w:rFonts w:hint="eastAsia"/>
                <w:sz w:val="24"/>
                <w:lang w:val="en-US" w:eastAsia="zh-CN"/>
              </w:rPr>
              <w:t>运输</w:t>
            </w:r>
            <w:r>
              <w:rPr>
                <w:rFonts w:hint="eastAsia"/>
                <w:sz w:val="24"/>
              </w:rPr>
              <w:t>及时，同意列为我公司的合格供方。</w:t>
            </w:r>
          </w:p>
          <w:p>
            <w:pPr>
              <w:spacing w:line="360" w:lineRule="auto"/>
              <w:jc w:val="left"/>
              <w:rPr>
                <w:rFonts w:hint="default" w:eastAsia="宋体"/>
                <w:sz w:val="24"/>
                <w:lang w:val="en-US" w:eastAsia="zh-CN"/>
              </w:rPr>
            </w:pPr>
            <w:r>
              <w:rPr>
                <w:rFonts w:hint="eastAsia"/>
                <w:sz w:val="24"/>
              </w:rPr>
              <w:t xml:space="preserve">参加评审人（签字）： </w:t>
            </w:r>
            <w:r>
              <w:rPr>
                <w:rFonts w:hint="eastAsia"/>
                <w:sz w:val="24"/>
                <w:lang w:val="en-US" w:eastAsia="zh-CN"/>
              </w:rPr>
              <w:t>戎丽维、高学领</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sz w:val="24"/>
              </w:rPr>
            </w:pPr>
            <w:r>
              <w:rPr>
                <w:rFonts w:hint="eastAsia"/>
                <w:sz w:val="24"/>
              </w:rPr>
              <w:t>评审结论（是否列入合格供方名录）</w:t>
            </w:r>
          </w:p>
          <w:p>
            <w:pPr>
              <w:spacing w:line="360" w:lineRule="auto"/>
              <w:ind w:firstLine="600" w:firstLineChars="250"/>
              <w:rPr>
                <w:rFonts w:hint="default" w:eastAsia="宋体"/>
                <w:sz w:val="24"/>
                <w:lang w:val="en-US" w:eastAsia="zh-CN"/>
              </w:rPr>
            </w:pPr>
            <w:r>
              <w:rPr>
                <w:rFonts w:hint="eastAsia" w:ascii="宋体" w:hAnsi="宋体" w:cs="宋体"/>
                <w:sz w:val="24"/>
              </w:rPr>
              <w:t>■</w:t>
            </w:r>
            <w:r>
              <w:rPr>
                <w:rFonts w:hint="eastAsia"/>
                <w:sz w:val="24"/>
              </w:rPr>
              <w:t>是      □否               批准签字：</w:t>
            </w:r>
            <w:r>
              <w:rPr>
                <w:rFonts w:hint="eastAsia"/>
                <w:sz w:val="24"/>
                <w:lang w:val="en-US" w:eastAsia="zh-CN"/>
              </w:rPr>
              <w:t>王丽伟</w:t>
            </w:r>
            <w:r>
              <w:rPr>
                <w:rFonts w:hint="eastAsia"/>
                <w:sz w:val="24"/>
              </w:rPr>
              <w:t xml:space="preserve">   日期：2</w:t>
            </w:r>
            <w:r>
              <w:rPr>
                <w:sz w:val="24"/>
              </w:rPr>
              <w:t>0</w:t>
            </w:r>
            <w:r>
              <w:rPr>
                <w:rFonts w:hint="eastAsia"/>
                <w:sz w:val="24"/>
                <w:lang w:val="en-US" w:eastAsia="zh-CN"/>
              </w:rPr>
              <w:t>21.2.28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648" w:type="dxa"/>
            <w:gridSpan w:val="5"/>
            <w:noWrap w:val="0"/>
            <w:vAlign w:val="center"/>
          </w:tcPr>
          <w:p>
            <w:pPr>
              <w:spacing w:line="360" w:lineRule="auto"/>
              <w:rPr>
                <w:rFonts w:hint="eastAsia" w:eastAsia="宋体"/>
                <w:sz w:val="24"/>
                <w:lang w:val="en-US" w:eastAsia="zh-CN"/>
              </w:rPr>
            </w:pPr>
            <w:r>
              <w:rPr>
                <w:rFonts w:hint="eastAsia"/>
                <w:sz w:val="24"/>
                <w:lang w:val="en-US" w:eastAsia="zh-CN"/>
              </w:rPr>
              <w:t>备注：</w:t>
            </w:r>
          </w:p>
        </w:tc>
      </w:tr>
    </w:tbl>
    <w:p>
      <w:pPr>
        <w:spacing w:line="360" w:lineRule="auto"/>
        <w:jc w:val="center"/>
      </w:pPr>
    </w:p>
    <w:p>
      <w:pPr>
        <w:rPr>
          <w:rFonts w:hint="eastAsia"/>
          <w:color w:val="auto"/>
          <w:w w:val="90"/>
          <w:sz w:val="24"/>
          <w:szCs w:val="28"/>
        </w:rPr>
      </w:pPr>
    </w:p>
    <w:p>
      <w:pPr>
        <w:rPr>
          <w:rFonts w:eastAsia="方正仿宋简体"/>
          <w:b/>
        </w:rPr>
      </w:pPr>
    </w:p>
    <w:p>
      <w:pPr>
        <w:rPr>
          <w:rFonts w:hint="eastAsia" w:eastAsia="黑体"/>
          <w:b/>
          <w:lang w:eastAsia="zh-CN"/>
        </w:rPr>
      </w:pP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_x0000_s3073" o:spid="_x0000_s3073" o:spt="202" type="#_x0000_t202" style="position:absolute;left:0pt;margin-left:311.4pt;margin-top:2.2pt;height:20.2pt;width:173.1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9"/>
        <w:rFonts w:hint="default"/>
        <w:w w:val="90"/>
        <w:sz w:val="18"/>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p>
    <w:pPr>
      <w:pStyle w:val="4"/>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 id="V:Rule2" type="connector" idref="#_x0000_s3076"/>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041A24"/>
    <w:rsid w:val="599811C6"/>
    <w:rsid w:val="6299735A"/>
    <w:rsid w:val="68D121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2"/>
    <w:qFormat/>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3</TotalTime>
  <ScaleCrop>false</ScaleCrop>
  <LinksUpToDate>false</LinksUpToDate>
  <CharactersWithSpaces>687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至鱼</cp:lastModifiedBy>
  <cp:lastPrinted>2019-05-13T03:02:00Z</cp:lastPrinted>
  <dcterms:modified xsi:type="dcterms:W3CDTF">2021-03-04T02:52:01Z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