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bookmarkStart w:id="0" w:name="_Hlk63542782"/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机动往复泵额定流量测试</w:t>
      </w:r>
      <w:r>
        <w:rPr>
          <w:rFonts w:ascii="Times New Roman" w:hAnsi="Times New Roman" w:eastAsia="宋体" w:cs="Times New Roman"/>
          <w:b/>
          <w:bCs/>
          <w:color w:val="auto"/>
          <w:sz w:val="30"/>
          <w:szCs w:val="30"/>
        </w:rPr>
        <w:t>过程</w:t>
      </w:r>
      <w:bookmarkEnd w:id="0"/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不确定度评定报告</w:t>
      </w:r>
    </w:p>
    <w:p>
      <w:pPr>
        <w:spacing w:line="360" w:lineRule="auto"/>
        <w:rPr>
          <w:bCs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GB/T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7784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-20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机动往复泵试验方法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bidi="ar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及《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机动往复泵额定流量测试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过程控制规范》进行测量。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电磁流量计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0.7-70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val="en-US" w:eastAsia="zh-CN" w:bidi="ar"/>
        </w:rPr>
        <w:t>rel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 w:bidi="ar"/>
        </w:rPr>
        <w:t>=1.2%,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额定电流（23.75-27.50）m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依此开启控制柜和水泵电源，通过控制针阀调节压力，按照试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车规范和国标要求运行相应的时间，分别记录：根据压力等级0(0MPa);25%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（6.25MPa）;50%（12.5MPa;75%（18.75MPa）;100%（25MPa）,各个等级各压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力段流量的数值。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额定流量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额定流量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a)测量重复性引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b)测量设备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输入量测量重复性不确定度的来源主要是测量重复性引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的标准不确定度。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做A类评定测量：在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电磁流量计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台电磁流量计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，在相临近的时间内，对被测试件连续测量10次，得10个测量数据汇于表1：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04"/>
        <w:gridCol w:w="1304"/>
        <w:gridCol w:w="1304"/>
        <w:gridCol w:w="130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L读数值(m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/h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26.5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L读数值(m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/h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26.3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6.5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6.6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被测试件测量值的平均值： </w:t>
      </w:r>
      <w:r>
        <w:rPr>
          <w:rFonts w:hint="default" w:ascii="Times New Roman" w:hAnsi="Times New Roman" w:eastAsia="宋体" w:cs="Times New Roman"/>
          <w:position w:val="-4"/>
          <w:sz w:val="24"/>
          <w:szCs w:val="24"/>
        </w:rPr>
        <w:object>
          <v:shape id="_x0000_i1025" o:spt="75" type="#_x0000_t75" style="height:15pt;width:10.3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 </w:t>
      </w:r>
      <w:r>
        <w:rPr>
          <w:rFonts w:hint="default" w:ascii="Times New Roman" w:hAnsi="Times New Roman" w:eastAsia="宋体" w:cs="Times New Roman"/>
          <w:position w:val="-28"/>
          <w:sz w:val="24"/>
          <w:szCs w:val="24"/>
        </w:rPr>
        <w:object>
          <v:shape id="_x0000_i1026" o:spt="75" type="#_x0000_t75" style="height:33.85pt;width:39.8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6.35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S=</w:t>
      </w:r>
      <w:r>
        <w:rPr>
          <w:rFonts w:hint="default" w:ascii="Times New Roman" w:hAnsi="Times New Roman" w:eastAsia="宋体" w:cs="Times New Roman"/>
          <w:color w:val="auto"/>
          <w:position w:val="-32"/>
          <w:sz w:val="24"/>
          <w:szCs w:val="24"/>
        </w:rPr>
        <w:object>
          <v:shape id="_x0000_i1027" o:spt="75" type="#_x0000_t75" style="height:54.85pt;width:71.5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0.178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1" w:name="_Hlk36298355"/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</w:p>
    <w:bookmarkEnd w:id="1"/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0.178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  <w:t>电磁流量计的不确定度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=1.2%×26.35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=0.3162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  <w:r>
        <w:rPr>
          <w:rFonts w:hint="default" w:ascii="Times New Roman" w:hAnsi="Times New Roman" w:eastAsia="宋体" w:cs="Times New Roman"/>
          <w:sz w:val="24"/>
          <w:szCs w:val="24"/>
        </w:rPr>
        <w:t>，则由设备示值误差引入的不确定度分量为：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i/>
          <w:position w:val="-26"/>
          <w:sz w:val="24"/>
          <w:szCs w:val="24"/>
          <w:lang w:eastAsia="zh-CN"/>
        </w:rPr>
        <w:object>
          <v:shape id="_x0000_i1028" o:spt="75" type="#_x0000_t75" style="height:36pt;width:1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0.178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0.158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/h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029" o:spt="75" type="#_x0000_t75" style="height:24.95pt;width:247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  <w:bookmarkStart w:id="2" w:name="_GoBack"/>
      <w:bookmarkEnd w:id="2"/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/h,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436565A"/>
    <w:rsid w:val="04444815"/>
    <w:rsid w:val="059C21AC"/>
    <w:rsid w:val="062619D7"/>
    <w:rsid w:val="063C65F3"/>
    <w:rsid w:val="06C201D1"/>
    <w:rsid w:val="07640BC6"/>
    <w:rsid w:val="07736171"/>
    <w:rsid w:val="09BE7075"/>
    <w:rsid w:val="0A9A5E74"/>
    <w:rsid w:val="0B397FDA"/>
    <w:rsid w:val="0B571171"/>
    <w:rsid w:val="0DC07BA3"/>
    <w:rsid w:val="0E1326AB"/>
    <w:rsid w:val="0E2137A4"/>
    <w:rsid w:val="0EBC1312"/>
    <w:rsid w:val="0EEB4B2B"/>
    <w:rsid w:val="10C76CC6"/>
    <w:rsid w:val="117068EC"/>
    <w:rsid w:val="11AF1B39"/>
    <w:rsid w:val="11DD0A90"/>
    <w:rsid w:val="13873537"/>
    <w:rsid w:val="150669D4"/>
    <w:rsid w:val="1581369B"/>
    <w:rsid w:val="15844914"/>
    <w:rsid w:val="175072CC"/>
    <w:rsid w:val="18175742"/>
    <w:rsid w:val="183E7280"/>
    <w:rsid w:val="1891397E"/>
    <w:rsid w:val="19905B34"/>
    <w:rsid w:val="1B8F690F"/>
    <w:rsid w:val="22A05F60"/>
    <w:rsid w:val="23A470A8"/>
    <w:rsid w:val="24CB6DA3"/>
    <w:rsid w:val="25263E94"/>
    <w:rsid w:val="25C47678"/>
    <w:rsid w:val="26AA6502"/>
    <w:rsid w:val="27725E1D"/>
    <w:rsid w:val="292A5016"/>
    <w:rsid w:val="295E52F6"/>
    <w:rsid w:val="2AE95DBC"/>
    <w:rsid w:val="2B183C58"/>
    <w:rsid w:val="2F71161C"/>
    <w:rsid w:val="31476743"/>
    <w:rsid w:val="32FD5AF2"/>
    <w:rsid w:val="3594212D"/>
    <w:rsid w:val="35BB3EF0"/>
    <w:rsid w:val="35D21864"/>
    <w:rsid w:val="36184782"/>
    <w:rsid w:val="374B63DB"/>
    <w:rsid w:val="37A94C31"/>
    <w:rsid w:val="37F17F01"/>
    <w:rsid w:val="3832240A"/>
    <w:rsid w:val="39983970"/>
    <w:rsid w:val="3A366619"/>
    <w:rsid w:val="3A9E7CD6"/>
    <w:rsid w:val="3CD52698"/>
    <w:rsid w:val="3E782D86"/>
    <w:rsid w:val="3F113FAD"/>
    <w:rsid w:val="3F45685F"/>
    <w:rsid w:val="3F652FF2"/>
    <w:rsid w:val="3F6903D3"/>
    <w:rsid w:val="3F6A1D37"/>
    <w:rsid w:val="3FA173DB"/>
    <w:rsid w:val="3FB17206"/>
    <w:rsid w:val="409F2474"/>
    <w:rsid w:val="41733268"/>
    <w:rsid w:val="447828CB"/>
    <w:rsid w:val="44CE6944"/>
    <w:rsid w:val="45FE3658"/>
    <w:rsid w:val="462C7D91"/>
    <w:rsid w:val="463F1C8F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BA806D8"/>
    <w:rsid w:val="4C4E578C"/>
    <w:rsid w:val="4CD60CFE"/>
    <w:rsid w:val="4E9273F7"/>
    <w:rsid w:val="4F3508CD"/>
    <w:rsid w:val="4FC501D3"/>
    <w:rsid w:val="506A3EB6"/>
    <w:rsid w:val="51D71733"/>
    <w:rsid w:val="52163E48"/>
    <w:rsid w:val="52315D80"/>
    <w:rsid w:val="526747A8"/>
    <w:rsid w:val="546F1767"/>
    <w:rsid w:val="550D2A39"/>
    <w:rsid w:val="558C45D2"/>
    <w:rsid w:val="55E0145F"/>
    <w:rsid w:val="561C144A"/>
    <w:rsid w:val="57CC2099"/>
    <w:rsid w:val="589249BA"/>
    <w:rsid w:val="58F91F1B"/>
    <w:rsid w:val="5944689B"/>
    <w:rsid w:val="5A3F282F"/>
    <w:rsid w:val="5ACE0218"/>
    <w:rsid w:val="5BEA2D95"/>
    <w:rsid w:val="5D7B6436"/>
    <w:rsid w:val="5E6C67F7"/>
    <w:rsid w:val="5EFD54A6"/>
    <w:rsid w:val="5FBA6C7D"/>
    <w:rsid w:val="6001421E"/>
    <w:rsid w:val="600B2CAE"/>
    <w:rsid w:val="60A22F1C"/>
    <w:rsid w:val="614439C5"/>
    <w:rsid w:val="6304360C"/>
    <w:rsid w:val="63BD10F1"/>
    <w:rsid w:val="63DB627B"/>
    <w:rsid w:val="681B0E89"/>
    <w:rsid w:val="687136DB"/>
    <w:rsid w:val="6A764632"/>
    <w:rsid w:val="6BF70BCC"/>
    <w:rsid w:val="6C5A5A6D"/>
    <w:rsid w:val="6CB540F2"/>
    <w:rsid w:val="6D1A7968"/>
    <w:rsid w:val="6E9F7006"/>
    <w:rsid w:val="6EA232AD"/>
    <w:rsid w:val="71F52FD3"/>
    <w:rsid w:val="733C6C07"/>
    <w:rsid w:val="7376125A"/>
    <w:rsid w:val="753B0584"/>
    <w:rsid w:val="75513159"/>
    <w:rsid w:val="784903B4"/>
    <w:rsid w:val="789B1DCD"/>
    <w:rsid w:val="78E1237D"/>
    <w:rsid w:val="78EB596B"/>
    <w:rsid w:val="79507382"/>
    <w:rsid w:val="7A0963C2"/>
    <w:rsid w:val="7A2B1906"/>
    <w:rsid w:val="7A7B1BBB"/>
    <w:rsid w:val="7A7F2C28"/>
    <w:rsid w:val="7B1A5A17"/>
    <w:rsid w:val="7DC46F29"/>
    <w:rsid w:val="7DE91E93"/>
    <w:rsid w:val="7E3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0</TotalTime>
  <ScaleCrop>false</ScaleCrop>
  <LinksUpToDate>false</LinksUpToDate>
  <CharactersWithSpaces>1424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2021-02-27T06:04:50Z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