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0"/>
        <w:gridCol w:w="136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四川蓝业商贸有限公司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市场调研→签订协议→组织采购</w:t>
            </w:r>
            <w:bookmarkStart w:id="6" w:name="_GoBack"/>
            <w:bookmarkEnd w:id="6"/>
            <w:r>
              <w:rPr>
                <w:rFonts w:hint="eastAsia"/>
                <w:lang w:val="en-US" w:eastAsia="zh-CN"/>
              </w:rPr>
              <w:t>用户产品与验收→组织发货与交付→售后服务</w:t>
            </w:r>
            <w:r>
              <w:rPr>
                <w:rFonts w:hint="eastAsia"/>
                <w:sz w:val="24"/>
              </w:rPr>
              <w:t>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潜在火灾和固废排放，采取管理方案和应急处理方案控制。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火灾和触电，采取管理方案和应急处理方案控制。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 xml:space="preserve">GB/T 19141-2011《家用太阳能热水系统技术条件》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GB_T 3325-2008 金属家具通用技术条件。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93980</wp:posOffset>
            </wp:positionV>
            <wp:extent cx="323850" cy="335280"/>
            <wp:effectExtent l="0" t="0" r="635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2021.2.21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32D7721"/>
    <w:rsid w:val="56A53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2021-02-25T05:37:06Z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