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bCs/>
          <w:color w:val="000000" w:themeColor="text1"/>
          <w:sz w:val="24"/>
          <w:szCs w:val="24"/>
        </w:rPr>
      </w:pPr>
      <w:r>
        <w:rPr>
          <w:rFonts w:hint="eastAsia" w:ascii="宋体" w:hAnsi="宋体"/>
          <w:b/>
          <w:bCs/>
          <w:sz w:val="24"/>
          <w:szCs w:val="24"/>
        </w:rPr>
        <w:t>编  号：</w:t>
      </w:r>
      <w:bookmarkStart w:id="0" w:name="合同编号"/>
      <w:r>
        <w:rPr>
          <w:b/>
          <w:bCs/>
          <w:sz w:val="24"/>
          <w:szCs w:val="24"/>
        </w:rPr>
        <w:t>0104-2021-QEO</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重庆精博世电力设计咨询有限公司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Q:34.01.02</w:t>
            </w:r>
          </w:p>
          <w:p>
            <w:pPr>
              <w:spacing w:line="240" w:lineRule="exact"/>
              <w:jc w:val="center"/>
              <w:rPr>
                <w:b/>
                <w:color w:val="000000" w:themeColor="text1"/>
                <w:sz w:val="20"/>
                <w:szCs w:val="20"/>
              </w:rPr>
            </w:pPr>
            <w:r>
              <w:rPr>
                <w:b/>
                <w:color w:val="000000" w:themeColor="text1"/>
                <w:sz w:val="20"/>
                <w:szCs w:val="20"/>
              </w:rPr>
              <w:t>E:34.01.02</w:t>
            </w:r>
          </w:p>
          <w:p>
            <w:pPr>
              <w:spacing w:line="240" w:lineRule="exact"/>
              <w:jc w:val="center"/>
              <w:rPr>
                <w:b/>
                <w:color w:val="000000" w:themeColor="text1"/>
                <w:sz w:val="20"/>
                <w:szCs w:val="20"/>
              </w:rPr>
            </w:pPr>
            <w:r>
              <w:rPr>
                <w:b/>
                <w:color w:val="000000" w:themeColor="text1"/>
                <w:sz w:val="20"/>
                <w:szCs w:val="20"/>
              </w:rPr>
              <w:t>O:34.01.02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E:34.01.02</w:t>
            </w:r>
          </w:p>
          <w:p>
            <w:pPr>
              <w:spacing w:line="240" w:lineRule="exact"/>
              <w:jc w:val="center"/>
              <w:rPr>
                <w:b/>
                <w:color w:val="000000" w:themeColor="text1"/>
                <w:sz w:val="20"/>
                <w:szCs w:val="20"/>
              </w:rPr>
            </w:pPr>
            <w:r>
              <w:rPr>
                <w:b/>
                <w:color w:val="000000" w:themeColor="text1"/>
                <w:sz w:val="20"/>
                <w:szCs w:val="20"/>
              </w:rPr>
              <w:t>O:34.01.02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Q:34.01.02</w:t>
            </w:r>
          </w:p>
          <w:p>
            <w:pPr>
              <w:spacing w:line="240" w:lineRule="exact"/>
              <w:jc w:val="center"/>
              <w:rPr>
                <w:b/>
                <w:color w:val="000000" w:themeColor="text1"/>
                <w:sz w:val="20"/>
                <w:szCs w:val="20"/>
              </w:rPr>
            </w:pPr>
            <w:r>
              <w:rPr>
                <w:b/>
                <w:color w:val="000000" w:themeColor="text1"/>
                <w:sz w:val="20"/>
                <w:szCs w:val="20"/>
              </w:rPr>
              <w:t>E:34.01.02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Q：GB/T19001-2016/ISO9001:2015,E：GB/T 24001-2016/ISO14001:2015,O：GB/T45001-2020 / ISO45001：2018</w:t>
      </w:r>
      <w:bookmarkEnd w:id="5"/>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重庆精博世电力设计咨询有限公司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20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重庆市渝北区洪湖西路22号5-4</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重庆市渝北区洪湖西路22号5-4</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400000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谢瑶</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13510295871</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杨岳峰</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杨岳峰</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沈文</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Q：资质范围内的电力工程设计咨询服务</w:t>
            </w:r>
          </w:p>
          <w:p>
            <w:pPr>
              <w:spacing w:line="320" w:lineRule="exact"/>
              <w:rPr>
                <w:rFonts w:ascii="宋体" w:hAnsi="宋体"/>
                <w:b/>
                <w:color w:val="000000" w:themeColor="text1"/>
                <w:sz w:val="20"/>
                <w:szCs w:val="20"/>
              </w:rPr>
            </w:pPr>
            <w:r>
              <w:rPr>
                <w:rFonts w:ascii="宋体" w:hAnsi="宋体"/>
                <w:b/>
                <w:color w:val="000000" w:themeColor="text1"/>
                <w:sz w:val="20"/>
                <w:szCs w:val="20"/>
              </w:rPr>
              <w:t>E：资质范围内的电力工程设计咨询服务所涉及场所的相关环境管理活动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O：资质范围内的电力工程设计咨询服务所涉及场所的相关职业健康安全管理活动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Q：34.01.02</w:t>
            </w:r>
          </w:p>
          <w:p>
            <w:pPr>
              <w:spacing w:line="320" w:lineRule="exact"/>
              <w:rPr>
                <w:rFonts w:ascii="宋体" w:hAnsi="宋体"/>
                <w:b/>
                <w:color w:val="000000" w:themeColor="text1"/>
                <w:sz w:val="20"/>
                <w:szCs w:val="20"/>
              </w:rPr>
            </w:pPr>
            <w:r>
              <w:rPr>
                <w:rFonts w:ascii="宋体" w:hAnsi="宋体"/>
                <w:b/>
                <w:color w:val="000000" w:themeColor="text1"/>
                <w:sz w:val="20"/>
                <w:szCs w:val="20"/>
              </w:rPr>
              <w:t>E：34.01.02</w:t>
            </w:r>
          </w:p>
          <w:p>
            <w:pPr>
              <w:spacing w:line="320" w:lineRule="exact"/>
              <w:rPr>
                <w:rFonts w:ascii="宋体" w:hAnsi="宋体"/>
                <w:b/>
                <w:color w:val="000000" w:themeColor="text1"/>
                <w:sz w:val="20"/>
                <w:szCs w:val="20"/>
              </w:rPr>
            </w:pPr>
            <w:r>
              <w:rPr>
                <w:rFonts w:ascii="宋体" w:hAnsi="宋体"/>
                <w:b/>
                <w:color w:val="000000" w:themeColor="text1"/>
                <w:sz w:val="20"/>
                <w:szCs w:val="20"/>
              </w:rPr>
              <w:t>O：34.01.02</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cs="宋体" w:hAnsiTheme="minorHAnsi"/>
                <w:color w:val="000000" w:themeColor="text1"/>
                <w:kern w:val="0"/>
                <w:sz w:val="20"/>
                <w:szCs w:val="20"/>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2020-08-01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管理</w:t>
            </w:r>
            <w:r>
              <w:rPr>
                <w:rFonts w:hint="eastAsia" w:ascii="宋体" w:hAnsi="宋体"/>
                <w:b/>
                <w:color w:val="000000" w:themeColor="text1"/>
                <w:sz w:val="20"/>
                <w:szCs w:val="20"/>
              </w:rPr>
              <w:t>部</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含财务室）</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市场部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不合格品控制；合同管理；外部供方管理；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b/>
                <w:color w:val="000000" w:themeColor="text1"/>
                <w:sz w:val="20"/>
                <w:szCs w:val="20"/>
                <w:lang w:val="en-US"/>
              </w:rPr>
            </w:pPr>
            <w:r>
              <w:rPr>
                <w:rFonts w:hint="eastAsia" w:ascii="宋体" w:hAnsi="宋体"/>
                <w:b/>
                <w:color w:val="000000" w:themeColor="text1"/>
                <w:sz w:val="20"/>
                <w:szCs w:val="20"/>
                <w:lang w:val="en-US" w:eastAsia="zh-CN"/>
              </w:rPr>
              <w:t>技经室</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资质范围内的电力工程设计咨询服务</w:t>
            </w:r>
          </w:p>
        </w:tc>
        <w:tc>
          <w:tcPr>
            <w:tcW w:w="2519" w:type="dxa"/>
          </w:tcPr>
          <w:p>
            <w:pPr>
              <w:rPr>
                <w:rFonts w:hint="eastAsia" w:eastAsia="宋体"/>
                <w:b/>
                <w:color w:val="000000" w:themeColor="text1"/>
                <w:sz w:val="20"/>
                <w:szCs w:val="20"/>
                <w:lang w:eastAsia="zh-CN"/>
              </w:rPr>
            </w:pPr>
            <w:r>
              <w:rPr>
                <w:rFonts w:hint="eastAsia"/>
                <w:b/>
                <w:color w:val="000000" w:themeColor="text1"/>
                <w:sz w:val="20"/>
                <w:szCs w:val="20"/>
                <w:lang w:val="en-US" w:eastAsia="zh-CN"/>
              </w:rPr>
              <w:t>服务</w:t>
            </w: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color w:val="auto"/>
                <w:sz w:val="21"/>
                <w:szCs w:val="21"/>
              </w:rPr>
              <w:t>《</w:t>
            </w:r>
            <w:r>
              <w:t>配电网技术改造选型和配置原则</w:t>
            </w:r>
            <w:r>
              <w:rPr>
                <w:rFonts w:hint="eastAsia"/>
                <w:color w:val="auto"/>
                <w:sz w:val="21"/>
                <w:szCs w:val="21"/>
              </w:rPr>
              <w:t>》</w:t>
            </w:r>
            <w:r>
              <w:t>Q/GDW 741 2012</w:t>
            </w:r>
            <w:r>
              <w:rPr>
                <w:rFonts w:hint="eastAsia"/>
                <w:color w:val="auto"/>
                <w:sz w:val="21"/>
                <w:szCs w:val="21"/>
              </w:rPr>
              <w:t>、《</w:t>
            </w:r>
            <w:r>
              <w:t>配电自动化系统验收技术规范</w:t>
            </w:r>
            <w:r>
              <w:rPr>
                <w:rFonts w:hint="eastAsia"/>
                <w:color w:val="auto"/>
                <w:sz w:val="21"/>
                <w:szCs w:val="21"/>
              </w:rPr>
              <w:t>》</w:t>
            </w:r>
            <w:r>
              <w:rPr>
                <w:rFonts w:ascii="宋体" w:hAnsi="宋体"/>
                <w:szCs w:val="21"/>
              </w:rPr>
              <w:t>Q/GDW 567-2010</w:t>
            </w:r>
            <w:r>
              <w:rPr>
                <w:rFonts w:hint="eastAsia" w:ascii="宋体" w:hAnsi="宋体"/>
                <w:szCs w:val="21"/>
                <w:lang w:eastAsia="zh-CN"/>
              </w:rPr>
              <w:t>、</w:t>
            </w:r>
            <w:r>
              <w:rPr>
                <w:rFonts w:hint="eastAsia"/>
                <w:color w:val="auto"/>
                <w:sz w:val="21"/>
                <w:szCs w:val="21"/>
                <w:lang w:eastAsia="zh-CN"/>
              </w:rPr>
              <w:t>《</w:t>
            </w:r>
            <w:r>
              <w:t>配电网施工检修工艺规范</w:t>
            </w:r>
            <w:r>
              <w:rPr>
                <w:rFonts w:hint="eastAsia"/>
                <w:color w:val="auto"/>
                <w:sz w:val="21"/>
                <w:szCs w:val="21"/>
                <w:lang w:eastAsia="zh-CN"/>
              </w:rPr>
              <w:t>》</w:t>
            </w:r>
            <w:r>
              <w:t>Q/GDW 742- 2012</w:t>
            </w:r>
            <w:r>
              <w:rPr>
                <w:rFonts w:hint="eastAsia"/>
                <w:color w:val="auto"/>
                <w:sz w:val="21"/>
                <w:szCs w:val="21"/>
                <w:lang w:eastAsia="zh-CN"/>
              </w:rPr>
              <w:t>、《</w:t>
            </w:r>
            <w:r>
              <w:t>分布式电源接入配电网系统测试及验收规程</w:t>
            </w:r>
            <w:r>
              <w:rPr>
                <w:rFonts w:hint="eastAsia"/>
                <w:color w:val="auto"/>
                <w:sz w:val="21"/>
                <w:szCs w:val="21"/>
                <w:lang w:eastAsia="zh-CN"/>
              </w:rPr>
              <w:t>》</w:t>
            </w:r>
            <w:r>
              <w:t>Q/GDW 11073 -2013</w:t>
            </w:r>
            <w:r>
              <w:rPr>
                <w:rFonts w:hint="eastAsia"/>
                <w:lang w:eastAsia="zh-CN"/>
              </w:rPr>
              <w:t>、《</w:t>
            </w:r>
            <w:r>
              <w:t>低压综合配电箱选型技术原则和检测技术规范</w:t>
            </w:r>
            <w:r>
              <w:rPr>
                <w:rFonts w:hint="eastAsia"/>
                <w:lang w:eastAsia="zh-CN"/>
              </w:rPr>
              <w:t>》</w:t>
            </w:r>
            <w:r>
              <w:t>Q/GDW 11221 2014</w:t>
            </w:r>
            <w:r>
              <w:rPr>
                <w:rFonts w:hint="eastAsia"/>
                <w:color w:val="auto"/>
                <w:sz w:val="21"/>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b/>
          <w:color w:val="000000" w:themeColor="text1"/>
          <w:spacing w:val="-10"/>
          <w:szCs w:val="21"/>
        </w:rPr>
        <w:t xml:space="preserve"> 体系运行时间</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rPr>
        <w:t>年</w:t>
      </w:r>
      <w:r>
        <w:rPr>
          <w:rFonts w:hint="eastAsia"/>
          <w:b/>
          <w:color w:val="000000" w:themeColor="text1"/>
          <w:spacing w:val="-10"/>
          <w:szCs w:val="21"/>
          <w:u w:val="single"/>
          <w:lang w:val="en-US" w:eastAsia="zh-CN"/>
        </w:rPr>
        <w:t>8</w:t>
      </w:r>
      <w:r>
        <w:rPr>
          <w:rFonts w:hint="eastAsia"/>
          <w:b/>
          <w:color w:val="000000" w:themeColor="text1"/>
          <w:spacing w:val="-10"/>
          <w:szCs w:val="21"/>
        </w:rPr>
        <w:t>月</w:t>
      </w:r>
      <w:bookmarkStart w:id="21" w:name="OLE_LINK1"/>
      <w:r>
        <w:rPr>
          <w:rFonts w:hint="eastAsia"/>
          <w:b/>
          <w:color w:val="000000" w:themeColor="text1"/>
          <w:spacing w:val="-10"/>
          <w:szCs w:val="21"/>
          <w:u w:val="single"/>
          <w:lang w:val="en-US" w:eastAsia="zh-CN"/>
        </w:rPr>
        <w:t>1</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u w:val="single"/>
          <w:lang w:val="en-US" w:eastAsia="zh-CN"/>
        </w:rPr>
        <w:t>2021</w:t>
      </w:r>
      <w:r>
        <w:rPr>
          <w:rFonts w:hint="eastAsia"/>
          <w:b/>
          <w:color w:val="000000" w:themeColor="text1"/>
          <w:spacing w:val="-10"/>
          <w:szCs w:val="21"/>
        </w:rPr>
        <w:t>年</w:t>
      </w:r>
      <w:r>
        <w:rPr>
          <w:rFonts w:hint="eastAsia"/>
          <w:b/>
          <w:color w:val="000000" w:themeColor="text1"/>
          <w:spacing w:val="-10"/>
          <w:szCs w:val="21"/>
          <w:u w:val="single"/>
          <w:lang w:val="en-US" w:eastAsia="zh-CN"/>
        </w:rPr>
        <w:t>2</w:t>
      </w:r>
      <w:r>
        <w:rPr>
          <w:rFonts w:hint="eastAsia"/>
          <w:b/>
          <w:color w:val="000000" w:themeColor="text1"/>
          <w:spacing w:val="-10"/>
          <w:szCs w:val="21"/>
        </w:rPr>
        <w:t>月</w:t>
      </w:r>
      <w:r>
        <w:rPr>
          <w:rFonts w:hint="eastAsia"/>
          <w:b/>
          <w:color w:val="000000" w:themeColor="text1"/>
          <w:spacing w:val="-10"/>
          <w:szCs w:val="21"/>
          <w:u w:val="single"/>
          <w:lang w:val="en-US" w:eastAsia="zh-CN"/>
        </w:rPr>
        <w:t>23</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  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0" w:lineRule="atLeast"/>
              <w:ind w:firstLine="420" w:firstLineChars="200"/>
              <w:jc w:val="left"/>
              <w:rPr>
                <w:b/>
                <w:color w:val="000000" w:themeColor="text1"/>
                <w:sz w:val="20"/>
                <w:szCs w:val="20"/>
              </w:rPr>
            </w:pPr>
            <w:r>
              <w:rPr>
                <w:rFonts w:hint="eastAsia" w:asciiTheme="minorEastAsia" w:hAnsiTheme="minorEastAsia" w:eastAsiaTheme="minorEastAsia" w:cstheme="minorEastAsia"/>
                <w:szCs w:val="21"/>
                <w:highlight w:val="none"/>
                <w:lang w:val="zh-CN"/>
              </w:rPr>
              <w:t>重庆精博世电力设计咨询有限公司成立于2016年9月，重庆精博世致力于配电网建设领域全过程技术支撑服务，主营配电网建设信息化技术、工程设计、工程造价咨询及数据服务；以托总公司资源拓展西南地区电力工程设计咨询业务。现有员工</w:t>
            </w:r>
            <w:r>
              <w:rPr>
                <w:rFonts w:hint="eastAsia" w:asciiTheme="minorEastAsia" w:hAnsiTheme="minorEastAsia" w:eastAsiaTheme="minorEastAsia" w:cstheme="minorEastAsia"/>
                <w:szCs w:val="21"/>
                <w:highlight w:val="none"/>
                <w:lang w:val="en-US" w:eastAsia="zh-CN"/>
              </w:rPr>
              <w:t>20</w:t>
            </w:r>
            <w:r>
              <w:rPr>
                <w:rFonts w:hint="eastAsia" w:asciiTheme="minorEastAsia" w:hAnsiTheme="minorEastAsia" w:eastAsiaTheme="minorEastAsia" w:cstheme="minorEastAsia"/>
                <w:szCs w:val="21"/>
                <w:highlight w:val="none"/>
                <w:lang w:val="zh-CN"/>
              </w:rPr>
              <w:t>人，目前经营情况良好。</w:t>
            </w:r>
            <w:r>
              <w:rPr>
                <w:rFonts w:hint="eastAsia" w:ascii="宋体" w:hAnsi="宋体"/>
                <w:sz w:val="21"/>
                <w:szCs w:val="21"/>
              </w:rPr>
              <w:t>组织对内外部因素、相关方需求和期望进行了充分的识别，策划和实施有效。确定了体系的边界，基本适用。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pStyle w:val="2"/>
              <w:spacing w:line="360" w:lineRule="auto"/>
              <w:ind w:right="151" w:rightChars="72"/>
              <w:jc w:val="both"/>
              <w:rPr>
                <w:rFonts w:hint="eastAsia" w:ascii="宋体" w:hAnsi="宋体"/>
                <w:sz w:val="21"/>
                <w:szCs w:val="2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ascii="宋体" w:hAnsi="宋体"/>
                <w:color w:val="auto"/>
                <w:sz w:val="21"/>
                <w:szCs w:val="21"/>
              </w:rPr>
              <w:t>质量方针：</w:t>
            </w:r>
            <w:r>
              <w:rPr>
                <w:rFonts w:hint="eastAsia" w:ascii="宋体" w:hAnsi="宋体"/>
                <w:sz w:val="21"/>
                <w:szCs w:val="21"/>
                <w:lang w:eastAsia="zh-CN"/>
              </w:rPr>
              <w:t>“</w:t>
            </w:r>
            <w:r>
              <w:rPr>
                <w:rFonts w:hint="eastAsia" w:ascii="宋体" w:hAnsi="宋体"/>
                <w:sz w:val="21"/>
                <w:szCs w:val="21"/>
              </w:rPr>
              <w:t>树立核心价值关;要善于学习；更要善于创造</w:t>
            </w:r>
            <w:r>
              <w:rPr>
                <w:rFonts w:hint="eastAsia" w:ascii="宋体" w:hAnsi="宋体"/>
                <w:sz w:val="21"/>
                <w:szCs w:val="21"/>
                <w:lang w:eastAsia="zh-CN"/>
              </w:rPr>
              <w:t>”</w:t>
            </w:r>
            <w:r>
              <w:rPr>
                <w:rFonts w:hint="eastAsia" w:ascii="宋体" w:hAnsi="宋体"/>
                <w:sz w:val="21"/>
                <w:szCs w:val="21"/>
              </w:rPr>
              <w:t xml:space="preserve">。 </w:t>
            </w:r>
          </w:p>
          <w:p>
            <w:pPr>
              <w:pStyle w:val="2"/>
              <w:spacing w:line="360" w:lineRule="auto"/>
              <w:ind w:right="151" w:rightChars="72"/>
              <w:jc w:val="both"/>
              <w:rPr>
                <w:rFonts w:ascii="宋体" w:hAnsi="宋体"/>
                <w:sz w:val="21"/>
                <w:szCs w:val="21"/>
              </w:rPr>
            </w:pPr>
            <w:r>
              <w:rPr>
                <w:rFonts w:hint="eastAsia" w:ascii="宋体" w:hAnsi="宋体"/>
                <w:color w:val="auto"/>
                <w:sz w:val="21"/>
                <w:szCs w:val="21"/>
              </w:rPr>
              <w:t>环境方针</w:t>
            </w:r>
            <w:r>
              <w:rPr>
                <w:rFonts w:hint="eastAsia" w:ascii="宋体" w:hAnsi="宋体"/>
                <w:color w:val="auto"/>
                <w:sz w:val="21"/>
                <w:szCs w:val="21"/>
                <w:lang w:eastAsia="zh-CN"/>
              </w:rPr>
              <w:t>：</w:t>
            </w:r>
            <w:r>
              <w:rPr>
                <w:rFonts w:hint="eastAsia" w:ascii="宋体" w:hAnsi="宋体"/>
                <w:sz w:val="21"/>
                <w:szCs w:val="21"/>
                <w:lang w:eastAsia="zh-CN"/>
              </w:rPr>
              <w:t>“</w:t>
            </w:r>
            <w:r>
              <w:rPr>
                <w:rFonts w:ascii="宋体" w:hAnsi="宋体"/>
                <w:sz w:val="21"/>
                <w:szCs w:val="21"/>
              </w:rPr>
              <w:t>节能降耗，污染预防，持续改进</w:t>
            </w:r>
            <w:r>
              <w:rPr>
                <w:rFonts w:hint="eastAsia" w:ascii="宋体" w:hAnsi="宋体"/>
                <w:sz w:val="21"/>
                <w:szCs w:val="21"/>
                <w:lang w:eastAsia="zh-CN"/>
              </w:rPr>
              <w:t>”。</w:t>
            </w:r>
          </w:p>
          <w:p>
            <w:pPr>
              <w:pStyle w:val="2"/>
              <w:spacing w:line="360" w:lineRule="auto"/>
              <w:ind w:right="151" w:rightChars="72"/>
              <w:jc w:val="both"/>
              <w:rPr>
                <w:b/>
                <w:color w:val="000000" w:themeColor="text1"/>
              </w:rPr>
            </w:pPr>
            <w:r>
              <w:rPr>
                <w:rFonts w:hint="eastAsia" w:ascii="宋体" w:hAnsi="宋体"/>
                <w:color w:val="auto"/>
                <w:sz w:val="21"/>
                <w:szCs w:val="21"/>
              </w:rPr>
              <w:t>职业健康安全方针</w:t>
            </w:r>
            <w:r>
              <w:rPr>
                <w:rFonts w:hint="eastAsia" w:ascii="宋体" w:hAnsi="宋体"/>
                <w:color w:val="auto"/>
                <w:sz w:val="21"/>
                <w:szCs w:val="21"/>
                <w:lang w:eastAsia="zh-CN"/>
              </w:rPr>
              <w:t>：“</w:t>
            </w:r>
            <w:r>
              <w:rPr>
                <w:rFonts w:ascii="宋体" w:hAnsi="宋体"/>
                <w:color w:val="auto"/>
                <w:sz w:val="21"/>
                <w:szCs w:val="21"/>
              </w:rPr>
              <w:t>预防为主，安全第一，持续改进</w:t>
            </w:r>
            <w:r>
              <w:rPr>
                <w:rFonts w:hint="eastAsia" w:ascii="宋体" w:hAnsi="宋体"/>
                <w:color w:val="auto"/>
                <w:sz w:val="21"/>
                <w:szCs w:val="21"/>
                <w:lang w:eastAsia="zh-CN"/>
              </w:rPr>
              <w:t>”</w:t>
            </w:r>
            <w:r>
              <w:rPr>
                <w:rFonts w:ascii="宋体" w:hAnsi="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质量管理体系过程有：合同评审、服务管理过程。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val="en-US" w:eastAsia="zh-CN"/>
              </w:rPr>
              <w:t>设计</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val="en-US" w:eastAsia="zh-CN"/>
              </w:rPr>
              <w:t>设计</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2.75pt;height:0pt;width:261.75pt;z-index:25167052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6950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8.3，不适用理由：</w:t>
            </w:r>
            <w:r>
              <w:rPr>
                <w:rFonts w:hint="eastAsia" w:ascii="宋体" w:hAnsi="宋体" w:eastAsia="宋体" w:cs="Times New Roman"/>
                <w:szCs w:val="21"/>
                <w:u w:val="single"/>
              </w:rPr>
              <w:t>本公司的电力工程设计咨询服务均按顾客提供的图样进行设计咨询，不进行设计和开发活动，故暂时不适用ISO9001：2015标准的8.3条款，同时不影响我公司提供满足顾客要求和适用法律法规要求的产品的能力和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组织建立了危险源识别、评价控制程序，识别评价了危险源、风险相关的过程，评价出了重要危险源，与之相关的过程有</w:t>
            </w:r>
            <w:r>
              <w:rPr>
                <w:rFonts w:hint="eastAsia" w:ascii="宋体" w:hAnsi="宋体"/>
                <w:color w:val="000000" w:themeColor="text1"/>
                <w:lang w:val="en-US" w:eastAsia="zh-CN"/>
              </w:rPr>
              <w:t>设计、交付</w:t>
            </w:r>
            <w:r>
              <w:rPr>
                <w:rFonts w:hint="eastAsia" w:ascii="宋体" w:hAnsi="宋体"/>
                <w:color w:val="000000" w:themeColor="text1"/>
              </w:rPr>
              <w:t>，针对重要危险源制定了管理方案。控制措施实施有效。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jc w:val="left"/>
              <w:rPr>
                <w:rFonts w:ascii="宋体" w:hAnsi="宋体" w:cs="宋体"/>
                <w:szCs w:val="21"/>
              </w:rPr>
            </w:pPr>
            <w:r>
              <w:rPr>
                <w:rFonts w:hint="eastAsia" w:ascii="宋体" w:hAnsi="宋体" w:cs="宋体"/>
                <w:szCs w:val="21"/>
              </w:rPr>
              <w:t>质量、环境、职业健康安全目标：</w:t>
            </w:r>
          </w:p>
          <w:p>
            <w:pPr>
              <w:pStyle w:val="2"/>
              <w:numPr>
                <w:ilvl w:val="0"/>
                <w:numId w:val="0"/>
              </w:numPr>
              <w:spacing w:line="360" w:lineRule="auto"/>
              <w:ind w:right="151" w:rightChars="72"/>
              <w:jc w:val="both"/>
              <w:rPr>
                <w:rFonts w:hint="eastAsia" w:ascii="宋体" w:hAnsi="宋体"/>
                <w:color w:val="auto"/>
                <w:sz w:val="21"/>
                <w:szCs w:val="21"/>
              </w:rPr>
            </w:pPr>
            <w:r>
              <w:rPr>
                <w:rFonts w:hint="eastAsia" w:ascii="宋体" w:hAnsi="宋体"/>
                <w:color w:val="auto"/>
                <w:sz w:val="21"/>
                <w:szCs w:val="21"/>
              </w:rPr>
              <w:t>质量目标：</w:t>
            </w:r>
          </w:p>
          <w:p>
            <w:pPr>
              <w:pStyle w:val="2"/>
              <w:spacing w:line="360" w:lineRule="auto"/>
              <w:ind w:right="151" w:rightChars="72"/>
              <w:jc w:val="both"/>
              <w:rPr>
                <w:rFonts w:hint="eastAsia" w:ascii="宋体" w:hAnsi="宋体" w:eastAsia="宋体"/>
                <w:color w:val="auto"/>
                <w:sz w:val="21"/>
                <w:szCs w:val="21"/>
                <w:lang w:val="en-US" w:eastAsia="zh-CN"/>
              </w:rPr>
            </w:pPr>
            <w:r>
              <w:rPr>
                <w:rFonts w:hint="eastAsia" w:ascii="宋体" w:hAnsi="宋体"/>
                <w:color w:val="auto"/>
                <w:sz w:val="21"/>
                <w:szCs w:val="21"/>
              </w:rPr>
              <w:t>1、合同履行率100%</w:t>
            </w:r>
            <w:r>
              <w:rPr>
                <w:rFonts w:hint="eastAsia" w:ascii="宋体" w:hAnsi="宋体"/>
                <w:color w:val="auto"/>
                <w:sz w:val="21"/>
                <w:szCs w:val="21"/>
                <w:lang w:val="en-US" w:eastAsia="zh-CN"/>
              </w:rPr>
              <w:t>；</w:t>
            </w:r>
          </w:p>
          <w:p>
            <w:pPr>
              <w:pStyle w:val="2"/>
              <w:spacing w:line="360" w:lineRule="auto"/>
              <w:ind w:right="151" w:rightChars="72"/>
              <w:jc w:val="both"/>
              <w:rPr>
                <w:rFonts w:hint="eastAsia" w:ascii="宋体" w:hAnsi="宋体" w:eastAsia="宋体"/>
                <w:color w:val="auto"/>
                <w:sz w:val="21"/>
                <w:szCs w:val="21"/>
                <w:lang w:val="en-US" w:eastAsia="zh-CN"/>
              </w:rPr>
            </w:pPr>
            <w:r>
              <w:rPr>
                <w:rFonts w:hint="eastAsia" w:ascii="宋体" w:hAnsi="宋体"/>
                <w:color w:val="auto"/>
                <w:sz w:val="21"/>
                <w:szCs w:val="21"/>
              </w:rPr>
              <w:t>2、交付准时率</w:t>
            </w:r>
            <w:r>
              <w:rPr>
                <w:rFonts w:ascii="宋体" w:hAnsi="宋体"/>
                <w:color w:val="auto"/>
                <w:sz w:val="21"/>
                <w:szCs w:val="21"/>
              </w:rPr>
              <w:t>≥</w:t>
            </w:r>
            <w:r>
              <w:rPr>
                <w:rFonts w:hint="eastAsia" w:ascii="宋体" w:hAnsi="宋体"/>
                <w:color w:val="auto"/>
                <w:sz w:val="21"/>
                <w:szCs w:val="21"/>
              </w:rPr>
              <w:t>98%</w:t>
            </w:r>
            <w:r>
              <w:rPr>
                <w:rFonts w:hint="eastAsia" w:ascii="宋体" w:hAnsi="宋体"/>
                <w:color w:val="auto"/>
                <w:sz w:val="21"/>
                <w:szCs w:val="21"/>
                <w:lang w:val="en-US" w:eastAsia="zh-CN"/>
              </w:rPr>
              <w:t>；</w:t>
            </w:r>
          </w:p>
          <w:p>
            <w:pPr>
              <w:tabs>
                <w:tab w:val="left" w:pos="851"/>
                <w:tab w:val="left" w:pos="2127"/>
                <w:tab w:val="left" w:pos="2977"/>
              </w:tabs>
              <w:adjustRightInd w:val="0"/>
              <w:snapToGrid w:val="0"/>
              <w:spacing w:line="360" w:lineRule="auto"/>
              <w:ind w:right="-45"/>
              <w:jc w:val="both"/>
              <w:rPr>
                <w:rFonts w:hint="eastAsia" w:ascii="宋体" w:hAnsi="宋体" w:eastAsia="宋体"/>
                <w:sz w:val="21"/>
                <w:szCs w:val="21"/>
                <w:lang w:eastAsia="zh-CN"/>
              </w:rPr>
            </w:pPr>
            <w:r>
              <w:rPr>
                <w:rFonts w:hint="eastAsia" w:ascii="宋体" w:hAnsi="宋体"/>
                <w:sz w:val="21"/>
                <w:szCs w:val="21"/>
              </w:rPr>
              <w:t>3、客户满意度达</w:t>
            </w:r>
            <w:r>
              <w:rPr>
                <w:rFonts w:ascii="宋体" w:hAnsi="宋体"/>
                <w:sz w:val="21"/>
                <w:szCs w:val="21"/>
              </w:rPr>
              <w:t>≥</w:t>
            </w:r>
            <w:r>
              <w:rPr>
                <w:rFonts w:hint="eastAsia" w:ascii="宋体" w:hAnsi="宋体"/>
                <w:sz w:val="21"/>
                <w:szCs w:val="21"/>
              </w:rPr>
              <w:t>95%</w:t>
            </w:r>
            <w:r>
              <w:rPr>
                <w:rFonts w:ascii="宋体" w:hAnsi="宋体"/>
                <w:sz w:val="21"/>
                <w:szCs w:val="21"/>
              </w:rPr>
              <w:tab/>
            </w:r>
            <w:r>
              <w:rPr>
                <w:rFonts w:hint="eastAsia" w:ascii="宋体" w:hAnsi="宋体"/>
                <w:sz w:val="21"/>
                <w:szCs w:val="21"/>
                <w:lang w:eastAsia="zh-CN"/>
              </w:rPr>
              <w:t>。</w:t>
            </w:r>
          </w:p>
          <w:p>
            <w:pPr>
              <w:tabs>
                <w:tab w:val="left" w:pos="851"/>
                <w:tab w:val="left" w:pos="2127"/>
                <w:tab w:val="left" w:pos="2977"/>
              </w:tabs>
              <w:adjustRightInd w:val="0"/>
              <w:snapToGrid w:val="0"/>
              <w:spacing w:line="360" w:lineRule="auto"/>
              <w:ind w:right="-45"/>
              <w:jc w:val="both"/>
              <w:rPr>
                <w:rFonts w:hint="eastAsia" w:ascii="宋体" w:hAnsi="宋体"/>
                <w:color w:val="auto"/>
                <w:sz w:val="21"/>
                <w:szCs w:val="21"/>
              </w:rPr>
            </w:pPr>
            <w:r>
              <w:rPr>
                <w:rFonts w:hint="eastAsia" w:ascii="宋体" w:hAnsi="宋体"/>
                <w:color w:val="auto"/>
                <w:sz w:val="21"/>
                <w:szCs w:val="21"/>
              </w:rPr>
              <w:t>环境目标：</w:t>
            </w:r>
          </w:p>
          <w:p>
            <w:pPr>
              <w:pStyle w:val="2"/>
              <w:spacing w:line="360" w:lineRule="auto"/>
              <w:ind w:right="151" w:rightChars="72"/>
              <w:jc w:val="both"/>
              <w:rPr>
                <w:rFonts w:hint="eastAsia" w:ascii="宋体" w:hAnsi="宋体" w:eastAsia="宋体"/>
                <w:color w:val="auto"/>
                <w:sz w:val="21"/>
                <w:szCs w:val="21"/>
                <w:lang w:val="en-US" w:eastAsia="zh-CN"/>
              </w:rPr>
            </w:pPr>
            <w:r>
              <w:rPr>
                <w:rFonts w:hint="eastAsia" w:ascii="宋体" w:hAnsi="宋体"/>
                <w:color w:val="auto"/>
                <w:sz w:val="21"/>
                <w:szCs w:val="21"/>
              </w:rPr>
              <w:t>1.固废回收处理率100%</w:t>
            </w:r>
            <w:r>
              <w:rPr>
                <w:rFonts w:hint="eastAsia" w:ascii="宋体" w:hAnsi="宋体"/>
                <w:color w:val="auto"/>
                <w:sz w:val="21"/>
                <w:szCs w:val="21"/>
                <w:lang w:val="en-US" w:eastAsia="zh-CN"/>
              </w:rPr>
              <w:t>；</w:t>
            </w:r>
          </w:p>
          <w:p>
            <w:pPr>
              <w:pStyle w:val="2"/>
              <w:spacing w:line="360" w:lineRule="auto"/>
              <w:ind w:right="151" w:rightChars="72"/>
              <w:jc w:val="both"/>
              <w:rPr>
                <w:rFonts w:hint="eastAsia" w:ascii="宋体" w:hAnsi="宋体"/>
                <w:color w:val="auto"/>
                <w:sz w:val="21"/>
                <w:szCs w:val="21"/>
                <w:lang w:eastAsia="zh-CN"/>
              </w:rPr>
            </w:pPr>
            <w:r>
              <w:rPr>
                <w:rFonts w:hint="eastAsia" w:ascii="宋体" w:hAnsi="宋体"/>
                <w:color w:val="auto"/>
                <w:sz w:val="21"/>
                <w:szCs w:val="21"/>
              </w:rPr>
              <w:t>2.噪声排放不超标</w:t>
            </w:r>
            <w:r>
              <w:rPr>
                <w:rFonts w:hint="eastAsia" w:ascii="宋体" w:hAnsi="宋体"/>
                <w:color w:val="auto"/>
                <w:sz w:val="21"/>
                <w:szCs w:val="21"/>
                <w:lang w:eastAsia="zh-CN"/>
              </w:rPr>
              <w:t>。</w:t>
            </w:r>
          </w:p>
          <w:p>
            <w:pPr>
              <w:pStyle w:val="2"/>
              <w:spacing w:line="360" w:lineRule="auto"/>
              <w:ind w:right="151" w:rightChars="72"/>
              <w:jc w:val="both"/>
              <w:rPr>
                <w:rFonts w:hint="eastAsia" w:ascii="宋体" w:hAnsi="宋体"/>
                <w:color w:val="auto"/>
                <w:sz w:val="21"/>
                <w:szCs w:val="21"/>
              </w:rPr>
            </w:pPr>
            <w:r>
              <w:rPr>
                <w:rFonts w:hint="eastAsia" w:ascii="宋体" w:hAnsi="宋体"/>
                <w:color w:val="auto"/>
                <w:sz w:val="21"/>
                <w:szCs w:val="21"/>
              </w:rPr>
              <w:t>职业健康安全目标：</w:t>
            </w:r>
          </w:p>
          <w:p>
            <w:pPr>
              <w:tabs>
                <w:tab w:val="left" w:pos="851"/>
                <w:tab w:val="left" w:pos="1560"/>
                <w:tab w:val="left" w:pos="2127"/>
                <w:tab w:val="left" w:pos="2977"/>
              </w:tabs>
              <w:adjustRightInd w:val="0"/>
              <w:snapToGrid w:val="0"/>
              <w:spacing w:line="360" w:lineRule="auto"/>
              <w:ind w:right="-45"/>
              <w:jc w:val="both"/>
              <w:rPr>
                <w:rFonts w:hint="eastAsia" w:ascii="宋体" w:hAnsi="宋体" w:eastAsia="宋体"/>
                <w:sz w:val="21"/>
                <w:szCs w:val="21"/>
                <w:lang w:val="en-US" w:eastAsia="zh-CN"/>
              </w:rPr>
            </w:pPr>
            <w:r>
              <w:rPr>
                <w:rFonts w:hint="eastAsia" w:ascii="宋体" w:hAnsi="宋体"/>
                <w:sz w:val="21"/>
                <w:szCs w:val="21"/>
              </w:rPr>
              <w:t>1.火灾事故发生为</w:t>
            </w:r>
            <w:r>
              <w:rPr>
                <w:rFonts w:ascii="宋体" w:hAnsi="宋体"/>
                <w:sz w:val="21"/>
                <w:szCs w:val="21"/>
              </w:rPr>
              <w:t>O</w:t>
            </w:r>
            <w:r>
              <w:rPr>
                <w:rFonts w:hint="eastAsia" w:ascii="宋体" w:hAnsi="宋体"/>
                <w:sz w:val="21"/>
                <w:szCs w:val="21"/>
                <w:lang w:val="en-US" w:eastAsia="zh-CN"/>
              </w:rPr>
              <w:t>；</w:t>
            </w:r>
          </w:p>
          <w:p>
            <w:pPr>
              <w:tabs>
                <w:tab w:val="left" w:pos="851"/>
                <w:tab w:val="left" w:pos="1560"/>
                <w:tab w:val="left" w:pos="2127"/>
                <w:tab w:val="left" w:pos="2977"/>
              </w:tabs>
              <w:adjustRightInd w:val="0"/>
              <w:snapToGrid w:val="0"/>
              <w:spacing w:line="360" w:lineRule="auto"/>
              <w:ind w:right="-45"/>
              <w:jc w:val="both"/>
              <w:rPr>
                <w:rFonts w:ascii="宋体" w:hAnsi="宋体"/>
                <w:b/>
                <w:color w:val="000000" w:themeColor="text1"/>
              </w:rPr>
            </w:pPr>
            <w:r>
              <w:rPr>
                <w:rFonts w:hint="eastAsia" w:ascii="宋体" w:hAnsi="宋体"/>
                <w:sz w:val="21"/>
                <w:szCs w:val="21"/>
              </w:rPr>
              <w:t>2.职业病发生为0</w:t>
            </w:r>
            <w:r>
              <w:rPr>
                <w:rFonts w:hint="eastAsia" w:ascii="宋体" w:hAnsi="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Arial"/>
                <w:color w:val="000000" w:themeColor="text1"/>
              </w:rPr>
              <w:t xml:space="preserve"> </w:t>
            </w:r>
            <w:r>
              <w:rPr>
                <w:rFonts w:hint="eastAsia" w:ascii="宋体" w:hAnsi="宋体" w:cs="宋体"/>
                <w:color w:val="000000" w:themeColor="text1"/>
              </w:rPr>
              <w:t>年</w:t>
            </w:r>
            <w:r>
              <w:rPr>
                <w:rFonts w:hint="eastAsia" w:ascii="宋体" w:hAnsi="宋体" w:cs="宋体"/>
                <w:color w:val="000000" w:themeColor="text1"/>
                <w:lang w:val="en-US" w:eastAsia="zh-CN"/>
              </w:rPr>
              <w:t>8</w:t>
            </w:r>
            <w:r>
              <w:rPr>
                <w:rFonts w:hint="eastAsia" w:ascii="宋体" w:hAnsi="宋体" w:cs="宋体"/>
                <w:color w:val="000000" w:themeColor="text1"/>
              </w:rPr>
              <w:t>月</w:t>
            </w:r>
            <w:r>
              <w:rPr>
                <w:rFonts w:hint="eastAsia" w:ascii="宋体" w:hAnsi="宋体" w:cs="宋体"/>
                <w:color w:val="000000" w:themeColor="text1"/>
                <w:lang w:val="en-US" w:eastAsia="zh-CN"/>
              </w:rPr>
              <w:t>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人力资源管理</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ascii="宋体" w:hAnsi="宋体"/>
                <w:szCs w:val="21"/>
                <w:highlight w:val="none"/>
              </w:rPr>
              <w:t>办公场所面积200平方左右，</w:t>
            </w:r>
            <w:r>
              <w:rPr>
                <w:rFonts w:hint="eastAsia" w:ascii="宋体" w:hAnsi="宋体" w:cs="宋体"/>
                <w:szCs w:val="21"/>
                <w:highlight w:val="none"/>
              </w:rPr>
              <w:t>主要生产设备</w:t>
            </w:r>
            <w:r>
              <w:rPr>
                <w:highlight w:val="none"/>
              </w:rPr>
              <w:t>为</w:t>
            </w:r>
            <w:r>
              <w:rPr>
                <w:color w:val="auto"/>
                <w:highlight w:val="none"/>
              </w:rPr>
              <w:t>电脑及办公设备（打印机、复印机、空调等</w:t>
            </w:r>
            <w:r>
              <w:rPr>
                <w:rFonts w:hint="eastAsia"/>
                <w:color w:val="auto"/>
                <w:highlight w:val="none"/>
                <w:lang w:eastAsia="zh-CN"/>
              </w:rPr>
              <w:t>）</w:t>
            </w:r>
            <w:r>
              <w:rPr>
                <w:color w:val="auto"/>
                <w:highlight w:val="none"/>
              </w:rPr>
              <w:t>等</w:t>
            </w:r>
            <w:r>
              <w:rPr>
                <w:rStyle w:val="17"/>
                <w:rFonts w:hint="eastAsia" w:ascii="宋体" w:hAnsi="宋体"/>
                <w:color w:val="auto"/>
                <w:szCs w:val="21"/>
                <w:highlight w:val="none"/>
              </w:rPr>
              <w:t>。</w:t>
            </w:r>
            <w:r>
              <w:rPr>
                <w:rFonts w:hint="eastAsia" w:ascii="宋体" w:hAnsi="宋体"/>
                <w:szCs w:val="21"/>
                <w:highlight w:val="none"/>
              </w:rPr>
              <w:t>可以满足资质范围内的电力工程设计咨询服务</w:t>
            </w:r>
            <w:r>
              <w:rPr>
                <w:rFonts w:hint="eastAsia" w:ascii="宋体" w:hAnsi="宋体" w:cs="宋体"/>
                <w:szCs w:val="21"/>
                <w:highlight w:val="none"/>
              </w:rPr>
              <w:t>需求。对设备按月方式进行维护保养，并实施。特种设备：</w:t>
            </w:r>
            <w:r>
              <w:rPr>
                <w:rFonts w:hint="eastAsia" w:ascii="宋体" w:hAnsi="宋体" w:cs="宋体"/>
                <w:szCs w:val="21"/>
                <w:highlight w:val="none"/>
                <w:lang w:val="en-US" w:eastAsia="zh-CN"/>
              </w:rPr>
              <w:t>无</w:t>
            </w:r>
            <w:r>
              <w:rPr>
                <w:rFonts w:hint="eastAsia" w:ascii="宋体" w:hAnsi="宋体" w:cs="宋体"/>
                <w:szCs w:val="21"/>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办公场所和内设备布置合理，通道畅通，照明设施齐全，均配备了消防设施等设施。办公室明亮，培训场所光线较充足。每月由行政部对工作环境进行定期检查。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400" w:lineRule="exact"/>
              <w:rPr>
                <w:rFonts w:ascii="宋体" w:hAnsi="宋体"/>
                <w:b/>
                <w:color w:val="000000" w:themeColor="text1"/>
                <w:sz w:val="20"/>
                <w:szCs w:val="20"/>
              </w:rPr>
            </w:pPr>
            <w:r>
              <w:rPr>
                <w:rFonts w:hint="eastAsia" w:ascii="宋体" w:hAnsi="宋体" w:cs="宋体"/>
                <w:szCs w:val="21"/>
              </w:rPr>
              <w:t>查公司配置有</w:t>
            </w:r>
            <w:r>
              <w:rPr>
                <w:rFonts w:hint="eastAsia"/>
                <w:bCs/>
                <w:szCs w:val="21"/>
                <w:lang w:val="en-US" w:eastAsia="zh-CN"/>
              </w:rPr>
              <w:t>电子测距望远镜，用于数据核验，</w:t>
            </w:r>
            <w:r>
              <w:rPr>
                <w:rFonts w:hint="eastAsia"/>
                <w:bCs/>
                <w:szCs w:val="21"/>
              </w:rPr>
              <w:t>咨询成果通过自验和客户确认，暂未配置</w:t>
            </w:r>
            <w:r>
              <w:rPr>
                <w:rFonts w:hint="eastAsia"/>
                <w:bCs/>
                <w:szCs w:val="21"/>
                <w:lang w:val="en-US" w:eastAsia="zh-CN"/>
              </w:rPr>
              <w:t>其它</w:t>
            </w:r>
            <w:r>
              <w:rPr>
                <w:rFonts w:hint="eastAsia"/>
                <w:bCs/>
                <w:szCs w:val="21"/>
              </w:rPr>
              <w:t>检测设备</w:t>
            </w:r>
            <w:r>
              <w:rPr>
                <w:rFonts w:hint="eastAsia"/>
                <w:bCs/>
                <w:color w:val="000000" w:themeColor="text1"/>
                <w:szCs w:val="21"/>
              </w:rPr>
              <w:t>。</w:t>
            </w:r>
            <w:r>
              <w:rPr>
                <w:rFonts w:hint="eastAsia" w:ascii="宋体" w:hAnsi="宋体" w:cs="宋体"/>
                <w:szCs w:val="21"/>
              </w:rPr>
              <w:t>能保证</w:t>
            </w:r>
            <w:r>
              <w:rPr>
                <w:rFonts w:hint="eastAsia" w:ascii="宋体" w:hAnsi="宋体"/>
                <w:szCs w:val="21"/>
              </w:rPr>
              <w:t>资质范围内的电力工程设计咨询服务</w:t>
            </w:r>
            <w:r>
              <w:rPr>
                <w:rFonts w:hint="eastAsia" w:ascii="宋体" w:hAnsi="宋体" w:cs="宋体"/>
                <w:szCs w:val="21"/>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有</w:t>
            </w:r>
          </w:p>
          <w:p>
            <w:pPr>
              <w:spacing w:line="300" w:lineRule="exact"/>
              <w:ind w:firstLine="197" w:firstLineChars="98"/>
              <w:rPr>
                <w:b/>
                <w:color w:val="000000" w:themeColor="text1"/>
                <w:sz w:val="20"/>
                <w:szCs w:val="20"/>
              </w:rPr>
            </w:pPr>
            <w:r>
              <w:rPr>
                <w:rFonts w:hint="eastAsia"/>
                <w:b/>
                <w:color w:val="000000" w:themeColor="text1"/>
                <w:sz w:val="20"/>
                <w:szCs w:val="20"/>
              </w:rPr>
              <w:t>（附相关证据）型式试验报告、监督抽查报告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7. EMS组织对重要环境因素实施控制的结果</w:t>
            </w:r>
          </w:p>
          <w:p>
            <w:pPr>
              <w:spacing w:line="240" w:lineRule="exact"/>
              <w:rPr>
                <w:b/>
                <w:color w:val="000000" w:themeColor="text1"/>
                <w:sz w:val="20"/>
                <w:szCs w:val="20"/>
                <w:highlight w:val="none"/>
              </w:rPr>
            </w:pPr>
            <w:r>
              <w:rPr>
                <w:rFonts w:hint="eastAsia"/>
                <w:b/>
                <w:color w:val="000000" w:themeColor="text1"/>
                <w:sz w:val="20"/>
                <w:szCs w:val="20"/>
                <w:highlight w:val="none"/>
              </w:rPr>
              <w:t>（EMS对重要环境因素控制，重大环境因素对周边环境产生的影响及控制;对相关方施加影响）</w:t>
            </w:r>
          </w:p>
          <w:p>
            <w:pPr>
              <w:pStyle w:val="11"/>
              <w:tabs>
                <w:tab w:val="center" w:pos="3169"/>
              </w:tabs>
              <w:spacing w:line="400" w:lineRule="exact"/>
              <w:ind w:firstLine="0" w:firstLineChars="0"/>
              <w:jc w:val="left"/>
              <w:rPr>
                <w:b/>
                <w:color w:val="000000" w:themeColor="text1"/>
                <w:sz w:val="20"/>
                <w:szCs w:val="20"/>
                <w:highlight w:val="none"/>
              </w:rPr>
            </w:pPr>
            <w:r>
              <w:rPr>
                <w:rFonts w:hint="eastAsia" w:asciiTheme="minorEastAsia" w:hAnsiTheme="minorEastAsia" w:eastAsiaTheme="minorEastAsia"/>
                <w:bCs/>
                <w:iCs/>
                <w:highlight w:val="none"/>
              </w:rPr>
              <w:t>组织重要环境因素为</w:t>
            </w:r>
            <w:r>
              <w:rPr>
                <w:rFonts w:hint="eastAsia" w:ascii="宋体" w:hAnsi="宋体" w:cs="宋体"/>
                <w:szCs w:val="21"/>
                <w:highlight w:val="none"/>
              </w:rPr>
              <w:t>潜在火灾、固废废弃物</w:t>
            </w:r>
            <w:r>
              <w:rPr>
                <w:rFonts w:hint="eastAsia" w:asciiTheme="minorEastAsia" w:hAnsiTheme="minorEastAsia" w:eastAsiaTheme="minorEastAsia"/>
                <w:bCs/>
                <w:iCs/>
                <w:highlight w:val="none"/>
              </w:rPr>
              <w:t>，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highlight w:val="none"/>
              </w:rPr>
            </w:pPr>
            <w:r>
              <w:rPr>
                <w:rFonts w:hint="eastAsia" w:asciiTheme="minorEastAsia" w:hAnsiTheme="minorEastAsia" w:eastAsiaTheme="minorEastAsia"/>
                <w:bCs/>
                <w:iCs/>
                <w:highlight w:val="none"/>
              </w:rPr>
              <w:t>组织建立了危险源识别、评价控制程序，识别评价了危险源、风险相关的过程，评价出了重要危险源（</w:t>
            </w:r>
            <w:r>
              <w:rPr>
                <w:rFonts w:hint="eastAsia"/>
                <w:szCs w:val="21"/>
                <w:highlight w:val="none"/>
              </w:rPr>
              <w:t>火灾；触电）</w:t>
            </w:r>
            <w:r>
              <w:rPr>
                <w:rFonts w:hint="eastAsia" w:asciiTheme="minorEastAsia" w:hAnsiTheme="minorEastAsia" w:eastAsiaTheme="minorEastAsia"/>
                <w:bCs/>
                <w:iCs/>
                <w:highlight w:val="none"/>
              </w:rPr>
              <w:t>，与之相关的过程有生产过程，针对不可接受风险制定了管理方案。控制措施实施有效。</w:t>
            </w:r>
          </w:p>
          <w:p>
            <w:pPr>
              <w:spacing w:line="240" w:lineRule="exact"/>
              <w:rPr>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w:t>
            </w:r>
            <w:r>
              <w:rPr>
                <w:rFonts w:hint="eastAsia" w:ascii="宋体" w:hAnsi="宋体" w:cs="宋体"/>
                <w:color w:val="000000"/>
                <w:szCs w:val="21"/>
                <w:highlight w:val="none"/>
              </w:rPr>
              <w:t>，质量目标得到沟通和监视评价，通过数据的汇总统计、描述性统计等方法对目标进行了测量，总体已达到或超过了规定的目标值。通过</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8月</w:t>
            </w:r>
            <w:r>
              <w:rPr>
                <w:rFonts w:hint="eastAsia" w:ascii="宋体" w:hAnsi="宋体" w:cs="宋体"/>
                <w:szCs w:val="21"/>
                <w:highlight w:val="none"/>
              </w:rPr>
              <w:t>-</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10</w:t>
            </w:r>
            <w:r>
              <w:rPr>
                <w:rFonts w:hint="eastAsia" w:ascii="宋体" w:hAnsi="宋体" w:cs="宋体"/>
                <w:szCs w:val="21"/>
                <w:highlight w:val="none"/>
              </w:rPr>
              <w:t>月实施，满意度评价9</w:t>
            </w:r>
            <w:r>
              <w:rPr>
                <w:rFonts w:hint="eastAsia" w:ascii="宋体" w:hAnsi="宋体" w:cs="宋体"/>
                <w:szCs w:val="21"/>
                <w:highlight w:val="none"/>
                <w:lang w:val="en-US" w:eastAsia="zh-CN"/>
              </w:rPr>
              <w:t>6</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12</w:t>
            </w:r>
            <w:r>
              <w:rPr>
                <w:rFonts w:hint="eastAsia" w:ascii="宋体" w:hAnsi="宋体"/>
                <w:szCs w:val="21"/>
              </w:rPr>
              <w:t>日，拟定了审核实施表，明确了内审范围，内审人员经培训合格上岗，能力满足要求，未出现审核本部门情况，</w:t>
            </w:r>
            <w:r>
              <w:rPr>
                <w:rFonts w:hint="eastAsia"/>
                <w:szCs w:val="22"/>
              </w:rPr>
              <w:t>《内审不符合项报告》</w:t>
            </w:r>
            <w:r>
              <w:rPr>
                <w:rFonts w:hint="eastAsia"/>
                <w:szCs w:val="22"/>
                <w:lang w:val="en-US" w:eastAsia="zh-CN"/>
              </w:rPr>
              <w:t>1</w:t>
            </w:r>
            <w:r>
              <w:rPr>
                <w:rFonts w:hint="eastAsia"/>
                <w:szCs w:val="22"/>
              </w:rPr>
              <w:t>份，涉及</w:t>
            </w:r>
            <w:r>
              <w:rPr>
                <w:rFonts w:hint="eastAsia" w:ascii="宋体" w:hAnsi="宋体" w:eastAsia="宋体" w:cs="Times New Roman"/>
                <w:szCs w:val="21"/>
                <w:lang w:val="en-US" w:eastAsia="zh-CN"/>
              </w:rPr>
              <w:t>管理</w:t>
            </w:r>
            <w:r>
              <w:rPr>
                <w:rFonts w:hint="eastAsia" w:ascii="宋体" w:hAnsi="宋体" w:eastAsia="宋体" w:cs="Times New Roman"/>
                <w:szCs w:val="21"/>
                <w:lang w:eastAsia="zh-CN"/>
              </w:rPr>
              <w:t>部</w:t>
            </w:r>
            <w:r>
              <w:rPr>
                <w:rFonts w:hint="eastAsia" w:ascii="宋体" w:hAnsi="宋体" w:eastAsia="宋体" w:cs="Times New Roman"/>
                <w:szCs w:val="21"/>
                <w:lang w:val="en-US" w:eastAsia="zh-CN"/>
              </w:rPr>
              <w:t>Q7.1.5</w:t>
            </w:r>
            <w:r>
              <w:rPr>
                <w:rFonts w:hint="eastAsia" w:ascii="宋体" w:hAnsi="宋体" w:eastAsia="宋体" w:cs="Times New Roman"/>
                <w:szCs w:val="21"/>
              </w:rPr>
              <w:t>条款</w:t>
            </w:r>
            <w:r>
              <w:rPr>
                <w:rFonts w:hint="eastAsia" w:ascii="宋体" w:hAnsi="宋体" w:eastAsia="宋体" w:cs="Times New Roman"/>
                <w:szCs w:val="21"/>
                <w:lang w:val="en-US" w:eastAsia="zh-CN"/>
              </w:rPr>
              <w:t>未</w:t>
            </w:r>
            <w:r>
              <w:rPr>
                <w:rFonts w:hint="eastAsia" w:ascii="宋体" w:hAnsi="宋体" w:eastAsia="宋体" w:cs="Times New Roman"/>
                <w:szCs w:val="21"/>
              </w:rPr>
              <w:t>按规定及时处理规整员工档案</w:t>
            </w:r>
            <w:r>
              <w:rPr>
                <w:rFonts w:hint="eastAsia" w:ascii="宋体" w:hAnsi="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color w:val="000000" w:themeColor="text1"/>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ascii="宋体" w:hAnsi="宋体" w:cs="宋体"/>
                <w:b w:val="0"/>
                <w:bCs w:val="0"/>
                <w:color w:val="000000" w:themeColor="text1"/>
                <w:sz w:val="21"/>
                <w:szCs w:val="21"/>
                <w:highlight w:val="none"/>
              </w:rPr>
              <w:t>一阶段审核无问题验证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highlight w:val="none"/>
        </w:rPr>
        <w:t>1项；其中</w:t>
      </w:r>
      <w:r>
        <w:rPr>
          <w:b/>
          <w:highlight w:val="none"/>
        </w:rPr>
        <w:pict>
          <v:line id="直接连接符 1" o:spid="_x0000_s2052" o:spt="20" style="position:absolute;left:0pt;margin-left:210pt;margin-top:16.2pt;height:0pt;width:0pt;z-index:251672576;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highlight w:val="none"/>
        </w:rPr>
        <w:t>严重不符合 0项，一般不符合 1项，观察项0项，分</w:t>
      </w:r>
      <w:r>
        <w:rPr>
          <w:rFonts w:hint="eastAsia"/>
          <w:b/>
          <w:color w:val="000000" w:themeColor="text1"/>
          <w:highlight w:val="none"/>
        </w:rPr>
        <w:t>布在</w:t>
      </w:r>
      <w:r>
        <w:rPr>
          <w:rFonts w:hint="eastAsia"/>
          <w:b/>
          <w:color w:val="000000" w:themeColor="text1"/>
          <w:highlight w:val="none"/>
          <w:lang w:val="en-US" w:eastAsia="zh-CN"/>
        </w:rPr>
        <w:t>市场部</w:t>
      </w:r>
      <w:r>
        <w:rPr>
          <w:rFonts w:hint="eastAsia"/>
          <w:b/>
          <w:color w:val="000000" w:themeColor="text1"/>
          <w:highlight w:val="none"/>
        </w:rPr>
        <w:t>部门</w:t>
      </w:r>
      <w:r>
        <w:rPr>
          <w:rFonts w:hint="eastAsia"/>
          <w:b/>
          <w:color w:val="000000" w:themeColor="text1"/>
          <w:highlight w:val="none"/>
          <w:lang w:val="en-US" w:eastAsia="zh-CN"/>
        </w:rPr>
        <w:t>Q9.1.2</w:t>
      </w:r>
      <w:r>
        <w:rPr>
          <w:rFonts w:hint="eastAsia"/>
          <w:b/>
          <w:color w:val="000000" w:themeColor="text1"/>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QMS■EMS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rFonts w:ascii="宋体" w:hAnsi="宋体"/>
                <w:szCs w:val="21"/>
              </w:rPr>
            </w:pPr>
            <w:r>
              <w:rPr>
                <w:rFonts w:ascii="宋体" w:hAnsi="宋体"/>
                <w:b/>
                <w:color w:val="000000"/>
                <w:sz w:val="20"/>
              </w:rPr>
              <w:t>QMS:</w:t>
            </w:r>
            <w:r>
              <w:rPr>
                <w:rFonts w:hint="eastAsia" w:ascii="宋体" w:hAnsi="宋体"/>
                <w:szCs w:val="21"/>
              </w:rPr>
              <w:t>资质范围内的电力工程设计咨询服务。</w:t>
            </w:r>
          </w:p>
          <w:p>
            <w:pPr>
              <w:rPr>
                <w:rFonts w:ascii="宋体"/>
                <w:b/>
                <w:color w:val="000000"/>
                <w:sz w:val="20"/>
              </w:rPr>
            </w:pPr>
            <w:r>
              <w:rPr>
                <w:rFonts w:ascii="宋体" w:hAnsi="宋体"/>
                <w:b/>
                <w:color w:val="000000"/>
                <w:sz w:val="20"/>
              </w:rPr>
              <w:t>EMS</w:t>
            </w:r>
            <w:r>
              <w:rPr>
                <w:rFonts w:ascii="宋体" w:hAnsi="宋体"/>
                <w:b/>
                <w:color w:val="000000"/>
                <w:sz w:val="20"/>
                <w:lang w:val="en-GB"/>
              </w:rPr>
              <w:t>:</w:t>
            </w:r>
            <w:r>
              <w:rPr>
                <w:rFonts w:hint="eastAsia" w:ascii="宋体" w:hAnsi="宋体"/>
                <w:szCs w:val="21"/>
              </w:rPr>
              <w:t>资质范围内的电力工程设计咨询服务所涉及场所的相关环境管理活动。</w:t>
            </w:r>
          </w:p>
          <w:p>
            <w:pPr>
              <w:rPr>
                <w:rFonts w:ascii="宋体" w:hAnsi="宋体"/>
                <w:szCs w:val="21"/>
              </w:rPr>
            </w:pPr>
            <w:r>
              <w:rPr>
                <w:rFonts w:ascii="宋体" w:hAnsi="宋体"/>
                <w:b/>
                <w:color w:val="000000"/>
                <w:sz w:val="20"/>
              </w:rPr>
              <w:t>OHSMS</w:t>
            </w:r>
            <w:r>
              <w:rPr>
                <w:rFonts w:ascii="宋体" w:hAnsi="宋体"/>
                <w:b/>
                <w:color w:val="000000"/>
                <w:sz w:val="20"/>
                <w:lang w:val="en-GB"/>
              </w:rPr>
              <w:t>:</w:t>
            </w:r>
            <w:r>
              <w:rPr>
                <w:rFonts w:hint="eastAsia" w:ascii="宋体" w:hAnsi="宋体"/>
                <w:szCs w:val="21"/>
              </w:rPr>
              <w:t>资质范围内的电力工程设计咨询服务所涉及场所的相关职业健康安全管理活动。</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天/严重不符合在天，针对不符合原因制定并实施纠正措施。验证方式见不符合项报告。</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：无</w:t>
      </w:r>
    </w:p>
    <w:p>
      <w:pPr>
        <w:spacing w:beforeLines="50"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Lines="50" w:line="360" w:lineRule="auto"/>
        <w:ind w:left="-130" w:leftChars="-405" w:hanging="720" w:hangingChars="326"/>
        <w:rPr>
          <w:b/>
          <w:color w:val="000000" w:themeColor="text1"/>
          <w:sz w:val="16"/>
          <w:szCs w:val="16"/>
        </w:rPr>
      </w:pPr>
      <w:r>
        <w:rPr>
          <w:rFonts w:hint="eastAsia"/>
          <w:b/>
          <w:sz w:val="22"/>
          <w:szCs w:val="22"/>
        </w:rPr>
        <w:drawing>
          <wp:anchor distT="0" distB="0" distL="114300" distR="114300" simplePos="0" relativeHeight="251675648" behindDoc="0" locked="0" layoutInCell="1" allowOverlap="1">
            <wp:simplePos x="0" y="0"/>
            <wp:positionH relativeFrom="column">
              <wp:posOffset>1560830</wp:posOffset>
            </wp:positionH>
            <wp:positionV relativeFrom="paragraph">
              <wp:posOffset>287655</wp:posOffset>
            </wp:positionV>
            <wp:extent cx="457200" cy="473075"/>
            <wp:effectExtent l="0" t="0" r="0" b="14605"/>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457200" cy="473075"/>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Lines="50" w:line="360" w:lineRule="auto"/>
        <w:ind w:firstLine="552" w:firstLineChars="250"/>
        <w:rPr>
          <w:b/>
          <w:color w:val="000000" w:themeColor="text1"/>
        </w:rPr>
      </w:pPr>
      <w:r>
        <w:rPr>
          <w:rFonts w:hint="eastAsia"/>
          <w:b/>
          <w:sz w:val="22"/>
          <w:szCs w:val="22"/>
        </w:rPr>
        <w:drawing>
          <wp:anchor distT="0" distB="0" distL="114300" distR="114300" simplePos="0" relativeHeight="251684864" behindDoc="0" locked="0" layoutInCell="1" allowOverlap="1">
            <wp:simplePos x="0" y="0"/>
            <wp:positionH relativeFrom="column">
              <wp:posOffset>2240915</wp:posOffset>
            </wp:positionH>
            <wp:positionV relativeFrom="paragraph">
              <wp:posOffset>77470</wp:posOffset>
            </wp:positionV>
            <wp:extent cx="883285" cy="489585"/>
            <wp:effectExtent l="0" t="0" r="635" b="13335"/>
            <wp:wrapNone/>
            <wp:docPr id="6" name="图片 6"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新文档 2020-01-09 10.59.53_副本.jpg"/>
                    <pic:cNvPicPr>
                      <a:picLocks noChangeAspect="1" noChangeArrowheads="1"/>
                    </pic:cNvPicPr>
                  </pic:nvPicPr>
                  <pic:blipFill>
                    <a:blip r:embed="rId7" cstate="print"/>
                    <a:srcRect t="11587"/>
                    <a:stretch>
                      <a:fillRect/>
                    </a:stretch>
                  </pic:blipFill>
                  <pic:spPr>
                    <a:xfrm>
                      <a:off x="0" y="0"/>
                      <a:ext cx="883285" cy="489585"/>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82816" behindDoc="0" locked="0" layoutInCell="1" allowOverlap="1">
            <wp:simplePos x="0" y="0"/>
            <wp:positionH relativeFrom="column">
              <wp:posOffset>1569720</wp:posOffset>
            </wp:positionH>
            <wp:positionV relativeFrom="paragraph">
              <wp:posOffset>80010</wp:posOffset>
            </wp:positionV>
            <wp:extent cx="631825" cy="478155"/>
            <wp:effectExtent l="0" t="0" r="8255" b="9525"/>
            <wp:wrapNone/>
            <wp:docPr id="4"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签名.jpg"/>
                    <pic:cNvPicPr>
                      <a:picLocks noChangeAspect="1" noChangeArrowheads="1"/>
                    </pic:cNvPicPr>
                  </pic:nvPicPr>
                  <pic:blipFill>
                    <a:blip r:embed="rId8" cstate="print"/>
                    <a:srcRect/>
                    <a:stretch>
                      <a:fillRect/>
                    </a:stretch>
                  </pic:blipFill>
                  <pic:spPr>
                    <a:xfrm>
                      <a:off x="0" y="0"/>
                      <a:ext cx="631825" cy="478155"/>
                    </a:xfrm>
                    <a:prstGeom prst="rect">
                      <a:avLst/>
                    </a:prstGeom>
                    <a:noFill/>
                    <a:ln w="9525">
                      <a:noFill/>
                      <a:miter lim="800000"/>
                      <a:headEnd/>
                      <a:tailEnd/>
                    </a:ln>
                  </pic:spPr>
                </pic:pic>
              </a:graphicData>
            </a:graphic>
          </wp:anchor>
        </w:drawing>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710" w:firstLineChars="1760"/>
        <w:rPr>
          <w:b/>
          <w:color w:val="000000" w:themeColor="text1"/>
          <w:sz w:val="16"/>
          <w:szCs w:val="16"/>
        </w:rPr>
      </w:pPr>
      <w:r>
        <w:rPr>
          <w:rFonts w:hint="eastAsia"/>
          <w:b/>
          <w:color w:val="000000" w:themeColor="text1"/>
        </w:rPr>
        <w:t>日期：</w:t>
      </w:r>
      <w:r>
        <w:rPr>
          <w:rFonts w:hint="eastAsia"/>
          <w:b/>
          <w:color w:val="000000" w:themeColor="text1"/>
          <w:lang w:val="en-US" w:eastAsia="zh-CN"/>
        </w:rPr>
        <w:t>2021</w:t>
      </w:r>
      <w:r>
        <w:rPr>
          <w:rFonts w:hint="eastAsia"/>
          <w:b/>
          <w:color w:val="000000" w:themeColor="text1"/>
        </w:rPr>
        <w:t xml:space="preserve"> </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2</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23</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highlight w:val="none"/>
        </w:rPr>
      </w:pPr>
      <w:r>
        <w:rPr>
          <w:rFonts w:hint="eastAsia"/>
          <w:b/>
          <w:color w:val="000000" w:themeColor="text1"/>
          <w:sz w:val="26"/>
          <w:szCs w:val="26"/>
        </w:rPr>
        <w:t>十</w:t>
      </w:r>
      <w:r>
        <w:rPr>
          <w:rFonts w:hint="eastAsia"/>
          <w:b/>
          <w:color w:val="000000" w:themeColor="text1"/>
          <w:sz w:val="26"/>
          <w:szCs w:val="26"/>
          <w:highlight w:val="none"/>
        </w:rPr>
        <w:t>五、纠正措施验证结论：</w:t>
      </w:r>
    </w:p>
    <w:p>
      <w:pPr>
        <w:snapToGrid w:val="0"/>
        <w:spacing w:beforeLines="50" w:afterLines="50" w:line="360" w:lineRule="auto"/>
        <w:ind w:leftChars="-202" w:hanging="424" w:hangingChars="201"/>
        <w:rPr>
          <w:b/>
          <w:color w:val="000000" w:themeColor="text1"/>
          <w:sz w:val="26"/>
          <w:szCs w:val="26"/>
          <w:highlight w:val="none"/>
        </w:rPr>
      </w:pPr>
      <w:r>
        <w:rPr>
          <w:rFonts w:hint="eastAsia"/>
          <w:b/>
          <w:bCs/>
          <w:color w:val="000000" w:themeColor="text1"/>
          <w:szCs w:val="21"/>
          <w:highlight w:val="none"/>
        </w:rPr>
        <w:t>1.  审核中发现的</w:t>
      </w:r>
      <w:r>
        <w:rPr>
          <w:rFonts w:hint="eastAsia"/>
          <w:b/>
          <w:color w:val="000000" w:themeColor="text1"/>
          <w:spacing w:val="-10"/>
          <w:szCs w:val="21"/>
          <w:highlight w:val="none"/>
          <w:lang w:eastAsia="zh-CN"/>
        </w:rPr>
        <w:t>■</w:t>
      </w:r>
      <w:r>
        <w:rPr>
          <w:rFonts w:hint="eastAsia"/>
          <w:b/>
          <w:color w:val="000000" w:themeColor="text1"/>
          <w:szCs w:val="21"/>
          <w:highlight w:val="none"/>
        </w:rPr>
        <w:t xml:space="preserve">QMS( </w:t>
      </w:r>
      <w:r>
        <w:rPr>
          <w:rFonts w:hint="eastAsia"/>
          <w:b/>
          <w:color w:val="000000" w:themeColor="text1"/>
          <w:szCs w:val="21"/>
          <w:highlight w:val="none"/>
          <w:lang w:val="en-US" w:eastAsia="zh-CN"/>
        </w:rPr>
        <w:t>1</w:t>
      </w:r>
      <w:r>
        <w:rPr>
          <w:rFonts w:hint="eastAsia"/>
          <w:b/>
          <w:color w:val="000000" w:themeColor="text1"/>
          <w:szCs w:val="21"/>
          <w:highlight w:val="none"/>
        </w:rPr>
        <w:t xml:space="preserve"> )个一般不符合，( </w:t>
      </w:r>
      <w:r>
        <w:rPr>
          <w:rFonts w:hint="eastAsia"/>
          <w:b/>
          <w:color w:val="000000" w:themeColor="text1"/>
          <w:szCs w:val="21"/>
          <w:highlight w:val="none"/>
          <w:lang w:val="en-US" w:eastAsia="zh-CN"/>
        </w:rPr>
        <w:t>0</w:t>
      </w:r>
      <w:r>
        <w:rPr>
          <w:rFonts w:hint="eastAsia"/>
          <w:b/>
          <w:color w:val="000000" w:themeColor="text1"/>
          <w:szCs w:val="21"/>
          <w:highlight w:val="none"/>
        </w:rPr>
        <w:t xml:space="preserve"> )个严重不符合，</w:t>
      </w:r>
      <w:r>
        <w:rPr>
          <w:rFonts w:hint="eastAsia"/>
          <w:b/>
          <w:color w:val="000000" w:themeColor="text1"/>
          <w:spacing w:val="-10"/>
          <w:szCs w:val="21"/>
          <w:highlight w:val="none"/>
          <w:lang w:eastAsia="zh-CN"/>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EMS(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OHSMS(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rFonts w:hint="eastAsia"/>
          <w:b/>
          <w:color w:val="000000" w:themeColor="text1"/>
          <w:szCs w:val="21"/>
          <w:highlight w:val="none"/>
        </w:rPr>
      </w:pPr>
      <w:r>
        <w:rPr>
          <w:rFonts w:hint="eastAsia"/>
          <w:b/>
          <w:color w:val="000000" w:themeColor="text1"/>
          <w:szCs w:val="21"/>
          <w:highlight w:val="none"/>
        </w:rPr>
        <w:t>存在问题说明及意见：</w:t>
      </w:r>
    </w:p>
    <w:p>
      <w:pPr>
        <w:spacing w:line="360" w:lineRule="auto"/>
        <w:rPr>
          <w:rFonts w:hint="eastAsia"/>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rFonts w:hint="eastAsia"/>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pStyle w:val="2"/>
      </w:pPr>
      <w:r>
        <w:rPr>
          <w:rFonts w:hint="eastAsia"/>
          <w:b/>
          <w:sz w:val="22"/>
          <w:szCs w:val="22"/>
        </w:rPr>
        <w:drawing>
          <wp:anchor distT="0" distB="0" distL="114300" distR="114300" simplePos="0" relativeHeight="251678720" behindDoc="0" locked="0" layoutInCell="1" allowOverlap="1">
            <wp:simplePos x="0" y="0"/>
            <wp:positionH relativeFrom="column">
              <wp:posOffset>824230</wp:posOffset>
            </wp:positionH>
            <wp:positionV relativeFrom="paragraph">
              <wp:posOffset>133985</wp:posOffset>
            </wp:positionV>
            <wp:extent cx="483235" cy="500380"/>
            <wp:effectExtent l="0" t="0" r="4445" b="2540"/>
            <wp:wrapNone/>
            <wp:docPr id="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19-09-04 21.08.47.jpg"/>
                    <pic:cNvPicPr>
                      <a:picLocks noChangeAspect="1" noChangeArrowheads="1"/>
                    </pic:cNvPicPr>
                  </pic:nvPicPr>
                  <pic:blipFill>
                    <a:blip r:embed="rId6" cstate="print"/>
                    <a:srcRect/>
                    <a:stretch>
                      <a:fillRect/>
                    </a:stretch>
                  </pic:blipFill>
                  <pic:spPr>
                    <a:xfrm>
                      <a:off x="0" y="0"/>
                      <a:ext cx="483235" cy="500380"/>
                    </a:xfrm>
                    <a:prstGeom prst="rect">
                      <a:avLst/>
                    </a:prstGeom>
                    <a:noFill/>
                    <a:ln w="9525">
                      <a:noFill/>
                      <a:miter lim="800000"/>
                      <a:headEnd/>
                      <a:tailEnd/>
                    </a:ln>
                  </pic:spPr>
                </pic:pic>
              </a:graphicData>
            </a:graphic>
          </wp:anchor>
        </w:drawing>
      </w:r>
    </w:p>
    <w:p>
      <w:pPr>
        <w:snapToGrid w:val="0"/>
        <w:spacing w:line="360" w:lineRule="auto"/>
        <w:rPr>
          <w:b/>
          <w:color w:val="000000" w:themeColor="text1"/>
          <w:sz w:val="16"/>
          <w:szCs w:val="16"/>
        </w:rPr>
      </w:pPr>
      <w:r>
        <w:rPr>
          <w:rFonts w:hint="eastAsia"/>
          <w:b/>
          <w:color w:val="000000" w:themeColor="text1"/>
          <w:szCs w:val="21"/>
        </w:rPr>
        <w:t xml:space="preserve">组长签字:                               </w:t>
      </w:r>
      <w:r>
        <w:rPr>
          <w:rFonts w:hint="eastAsia"/>
          <w:b/>
          <w:color w:val="000000" w:themeColor="text1"/>
          <w:szCs w:val="21"/>
          <w:highlight w:val="none"/>
        </w:rPr>
        <w:t xml:space="preserve">日期: </w:t>
      </w:r>
      <w:r>
        <w:rPr>
          <w:rFonts w:hint="eastAsia"/>
          <w:b/>
          <w:color w:val="000000" w:themeColor="text1"/>
          <w:highlight w:val="none"/>
          <w:lang w:val="en-US" w:eastAsia="zh-CN"/>
        </w:rPr>
        <w:t>2021</w:t>
      </w:r>
      <w:r>
        <w:rPr>
          <w:rFonts w:hint="eastAsia"/>
          <w:b/>
          <w:color w:val="000000" w:themeColor="text1"/>
          <w:highlight w:val="none"/>
        </w:rPr>
        <w:t xml:space="preserve"> </w:t>
      </w:r>
      <w:r>
        <w:rPr>
          <w:rFonts w:hint="eastAsia" w:asciiTheme="minorEastAsia" w:hAnsiTheme="minorEastAsia" w:eastAsiaTheme="minorEastAsia"/>
          <w:b/>
          <w:color w:val="000000" w:themeColor="text1"/>
          <w:highlight w:val="none"/>
        </w:rPr>
        <w:t>年</w:t>
      </w:r>
      <w:r>
        <w:rPr>
          <w:rFonts w:hint="eastAsia" w:asciiTheme="minorEastAsia" w:hAnsiTheme="minorEastAsia" w:eastAsiaTheme="minorEastAsia"/>
          <w:b/>
          <w:color w:val="000000" w:themeColor="text1"/>
          <w:highlight w:val="none"/>
          <w:lang w:val="en-US" w:eastAsia="zh-CN"/>
        </w:rPr>
        <w:t>2</w:t>
      </w:r>
      <w:r>
        <w:rPr>
          <w:rFonts w:hint="eastAsia" w:asciiTheme="minorEastAsia" w:hAnsiTheme="minorEastAsia" w:eastAsiaTheme="minorEastAsia"/>
          <w:b/>
          <w:color w:val="000000" w:themeColor="text1"/>
          <w:highlight w:val="none"/>
        </w:rPr>
        <w:t xml:space="preserve">月 </w:t>
      </w:r>
      <w:r>
        <w:rPr>
          <w:rFonts w:hint="eastAsia" w:asciiTheme="minorEastAsia" w:hAnsiTheme="minorEastAsia" w:eastAsiaTheme="minorEastAsia"/>
          <w:b/>
          <w:color w:val="000000" w:themeColor="text1"/>
          <w:highlight w:val="none"/>
          <w:lang w:val="en-US" w:eastAsia="zh-CN"/>
        </w:rPr>
        <w:t>25</w:t>
      </w:r>
      <w:r>
        <w:rPr>
          <w:rFonts w:hint="eastAsia" w:asciiTheme="minorEastAsia" w:hAnsiTheme="minorEastAsia" w:eastAsiaTheme="minorEastAsia"/>
          <w:b/>
          <w:color w:val="000000" w:themeColor="text1"/>
          <w:highlight w:val="none"/>
        </w:rPr>
        <w:t>日</w:t>
      </w:r>
    </w:p>
    <w:p>
      <w:pPr>
        <w:spacing w:beforeLines="100" w:afterLines="50"/>
        <w:rPr>
          <w:b/>
          <w:color w:val="000000" w:themeColor="text1"/>
          <w:szCs w:val="21"/>
        </w:rPr>
      </w:pPr>
      <w:bookmarkStart w:id="23" w:name="_GoBack"/>
      <w:bookmarkEnd w:id="23"/>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 xml:space="preserve">认证评定负责人：           </w:t>
      </w:r>
      <w:r>
        <w:rPr>
          <w:rFonts w:hint="eastAsia"/>
          <w:b/>
          <w:color w:val="000000" w:themeColor="text1"/>
          <w:lang w:val="en-US" w:eastAsia="zh-CN"/>
        </w:rPr>
        <w:t xml:space="preserve">   </w:t>
      </w:r>
      <w:r>
        <w:rPr>
          <w:rFonts w:hint="eastAsia"/>
          <w:b/>
          <w:color w:val="000000" w:themeColor="text1"/>
        </w:rPr>
        <w:t xml:space="preserve">日期：       </w:t>
      </w:r>
      <w:r>
        <w:rPr>
          <w:rFonts w:hint="eastAsia"/>
          <w:b/>
          <w:color w:val="000000" w:themeColor="text1"/>
          <w:lang w:val="en-US" w:eastAsia="zh-CN"/>
        </w:rPr>
        <w:t xml:space="preserve"> </w:t>
      </w:r>
      <w:r>
        <w:rPr>
          <w:rFonts w:hint="eastAsia"/>
          <w:b/>
          <w:color w:val="000000" w:themeColor="text1"/>
        </w:rPr>
        <w:t>年   月   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 xml:space="preserve">批准人（总经理）：              日期：      </w:t>
      </w:r>
      <w:r>
        <w:rPr>
          <w:rFonts w:hint="eastAsia"/>
          <w:b/>
          <w:color w:val="000000" w:themeColor="text1"/>
          <w:lang w:val="en-US" w:eastAsia="zh-CN"/>
        </w:rPr>
        <w:t xml:space="preserve"> </w:t>
      </w:r>
      <w:r>
        <w:rPr>
          <w:rFonts w:hint="eastAsia"/>
          <w:b/>
          <w:color w:val="000000" w:themeColor="text1"/>
        </w:rPr>
        <w:t>年   月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2"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2"/>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562163"/>
    <w:rsid w:val="5EBF4211"/>
    <w:rsid w:val="650C7AEB"/>
    <w:rsid w:val="72E141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character" w:customStyle="1" w:styleId="17">
    <w:name w:val="占位符文本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2</TotalTime>
  <ScaleCrop>false</ScaleCrop>
  <LinksUpToDate>false</LinksUpToDate>
  <CharactersWithSpaces>5057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2021-02-23T01:43:13Z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