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756"/>
        <w:gridCol w:w="774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重庆精博世电力设计咨询有限公司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7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7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咨询服务流程图：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客户招标－参与投标中标－项目可行性研究－可行性报告编制－客户审批——交付。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关键过程：项目可行性研究、报告编制。通过拟定规范和作业指导书进行控制，造成风险：不符合标准和法规要求，客户不认可。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6" w:name="_GoBack"/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sz w:val="21"/>
                <w:szCs w:val="21"/>
              </w:rPr>
              <w:t>配电网技术改造选型和配置原则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sz w:val="21"/>
                <w:szCs w:val="21"/>
              </w:rPr>
              <w:t>Q/GDW 741 2012</w:t>
            </w:r>
            <w:r>
              <w:rPr>
                <w:rFonts w:hint="eastAsia"/>
                <w:sz w:val="21"/>
                <w:szCs w:val="21"/>
              </w:rPr>
              <w:t>、《</w:t>
            </w:r>
            <w:r>
              <w:rPr>
                <w:sz w:val="21"/>
                <w:szCs w:val="21"/>
              </w:rPr>
              <w:t>配电自动化系统验收技术规范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ascii="宋体" w:hAnsi="宋体"/>
                <w:sz w:val="21"/>
                <w:szCs w:val="21"/>
              </w:rPr>
              <w:t>Q/GDW 567-2010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sz w:val="21"/>
                <w:szCs w:val="21"/>
              </w:rPr>
              <w:t>配电网施工检修工艺规范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sz w:val="21"/>
                <w:szCs w:val="21"/>
              </w:rPr>
              <w:t>Q/GDW 742- 2012</w:t>
            </w:r>
            <w:r>
              <w:rPr>
                <w:rFonts w:hint="eastAsia"/>
                <w:sz w:val="21"/>
                <w:szCs w:val="21"/>
              </w:rPr>
              <w:t>、《</w:t>
            </w:r>
            <w:r>
              <w:rPr>
                <w:sz w:val="21"/>
                <w:szCs w:val="21"/>
              </w:rPr>
              <w:t>分布式电源接入配电网系统测试及验收规程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sz w:val="21"/>
                <w:szCs w:val="21"/>
              </w:rPr>
              <w:t>Q/GDW 11073 -2013</w:t>
            </w:r>
            <w:r>
              <w:rPr>
                <w:rFonts w:hint="eastAsia"/>
                <w:sz w:val="21"/>
                <w:szCs w:val="21"/>
              </w:rPr>
              <w:t>、《</w:t>
            </w:r>
            <w:r>
              <w:rPr>
                <w:sz w:val="21"/>
                <w:szCs w:val="21"/>
              </w:rPr>
              <w:t>低压综合配电箱选型技术原则和检测技术规范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sz w:val="21"/>
                <w:szCs w:val="21"/>
              </w:rPr>
              <w:t>Q/GDW 11221 2014</w:t>
            </w:r>
            <w:r>
              <w:rPr>
                <w:rFonts w:hint="eastAsia"/>
                <w:sz w:val="21"/>
                <w:szCs w:val="21"/>
              </w:rPr>
              <w:t>和合同协议等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检验项目：标准符合性和差错率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104775</wp:posOffset>
            </wp:positionV>
            <wp:extent cx="367665" cy="345440"/>
            <wp:effectExtent l="19050" t="0" r="0" b="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1356995</wp:posOffset>
            </wp:positionH>
            <wp:positionV relativeFrom="paragraph">
              <wp:posOffset>104140</wp:posOffset>
            </wp:positionV>
            <wp:extent cx="367665" cy="345440"/>
            <wp:effectExtent l="19050" t="0" r="0" b="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2021.2.20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：2021.2.20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02D79"/>
    <w:rsid w:val="00016DDF"/>
    <w:rsid w:val="00202D79"/>
    <w:rsid w:val="00F26A49"/>
    <w:rsid w:val="49FC4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585</Characters>
  <Lines>4</Lines>
  <Paragraphs>1</Paragraphs>
  <TotalTime>27</TotalTime>
  <ScaleCrop>false</ScaleCrop>
  <LinksUpToDate>false</LinksUpToDate>
  <CharactersWithSpaces>686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2021-02-23T02:10:16Z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