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0098-2021-Q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重庆艾索雷森特种密封材料厂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17.12.04,29.11.04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5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重庆艾索雷森特种密封材料厂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重庆市九龙坡区谢家湾文化七村25栋S2-8</w:t>
            </w:r>
            <w:bookmarkEnd w:id="10"/>
          </w:p>
        </w:tc>
        <w:tc>
          <w:tcPr>
            <w:tcW w:w="95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6" w:type="dxa"/>
          </w:tcPr>
          <w:p>
            <w:pPr>
              <w:spacing w:line="280" w:lineRule="exact"/>
              <w:rPr>
                <w:rFonts w:ascii="宋体"/>
                <w:b/>
                <w:color w:val="000000"/>
                <w:sz w:val="20"/>
                <w:szCs w:val="20"/>
              </w:rPr>
            </w:pPr>
            <w:bookmarkStart w:id="11" w:name="注册邮编"/>
            <w:r>
              <w:rPr>
                <w:rFonts w:ascii="宋体"/>
                <w:b/>
                <w:color w:val="000000"/>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54" w:type="dxa"/>
            <w:vMerge w:val="continue"/>
            <w:vAlign w:val="center"/>
          </w:tcPr>
          <w:p>
            <w:pPr>
              <w:spacing w:line="280" w:lineRule="exact"/>
              <w:jc w:val="center"/>
              <w:rPr>
                <w:rFonts w:ascii="宋体"/>
                <w:b/>
                <w:color w:val="000000"/>
                <w:sz w:val="20"/>
                <w:szCs w:val="20"/>
              </w:rPr>
            </w:pPr>
          </w:p>
        </w:tc>
        <w:tc>
          <w:tcPr>
            <w:tcW w:w="1846"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重庆市九龙坡区谢家湾文化七村24栋附1号</w:t>
            </w:r>
            <w:bookmarkEnd w:id="14"/>
          </w:p>
        </w:tc>
        <w:tc>
          <w:tcPr>
            <w:tcW w:w="954" w:type="dxa"/>
            <w:vMerge w:val="continue"/>
            <w:vAlign w:val="center"/>
          </w:tcPr>
          <w:p>
            <w:pPr>
              <w:spacing w:line="280" w:lineRule="exact"/>
              <w:jc w:val="center"/>
              <w:rPr>
                <w:rFonts w:ascii="宋体"/>
                <w:b/>
                <w:color w:val="000000"/>
                <w:sz w:val="20"/>
                <w:szCs w:val="20"/>
              </w:rPr>
            </w:pPr>
          </w:p>
        </w:tc>
        <w:tc>
          <w:tcPr>
            <w:tcW w:w="1846" w:type="dxa"/>
          </w:tcPr>
          <w:p>
            <w:pPr>
              <w:spacing w:line="280" w:lineRule="exact"/>
              <w:rPr>
                <w:rFonts w:ascii="宋体"/>
                <w:b/>
                <w:color w:val="000000"/>
                <w:sz w:val="20"/>
                <w:szCs w:val="20"/>
              </w:rPr>
            </w:pPr>
            <w:bookmarkStart w:id="15" w:name="生产邮编Add1"/>
            <w:r>
              <w:rPr>
                <w:rFonts w:ascii="宋体"/>
                <w:b/>
                <w:color w:val="000000"/>
                <w:sz w:val="20"/>
                <w:szCs w:val="20"/>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李懿帆</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023-68964701</w:t>
            </w:r>
            <w:bookmarkEnd w:id="17"/>
          </w:p>
        </w:tc>
        <w:tc>
          <w:tcPr>
            <w:tcW w:w="95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6"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李永跃</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李懿帆</w:t>
            </w:r>
            <w:bookmarkEnd w:id="20"/>
          </w:p>
        </w:tc>
        <w:tc>
          <w:tcPr>
            <w:tcW w:w="954" w:type="dxa"/>
          </w:tcPr>
          <w:p>
            <w:pPr>
              <w:jc w:val="center"/>
              <w:rPr>
                <w:rFonts w:ascii="宋体"/>
                <w:b/>
                <w:color w:val="000000"/>
                <w:sz w:val="20"/>
                <w:szCs w:val="20"/>
              </w:rPr>
            </w:pPr>
            <w:r>
              <w:rPr>
                <w:rFonts w:hint="eastAsia" w:ascii="宋体"/>
                <w:b/>
                <w:color w:val="000000"/>
                <w:sz w:val="20"/>
                <w:szCs w:val="20"/>
              </w:rPr>
              <w:t>邮箱</w:t>
            </w:r>
          </w:p>
        </w:tc>
        <w:tc>
          <w:tcPr>
            <w:tcW w:w="1846" w:type="dxa"/>
          </w:tcPr>
          <w:p>
            <w:pPr>
              <w:rPr>
                <w:rFonts w:ascii="宋体"/>
                <w:b/>
                <w:color w:val="000000"/>
                <w:sz w:val="20"/>
                <w:szCs w:val="20"/>
              </w:rPr>
            </w:pPr>
            <w:bookmarkStart w:id="21" w:name="联系人邮箱Add1"/>
            <w:r>
              <w:rPr>
                <w:rFonts w:ascii="宋体"/>
                <w:b/>
                <w:color w:val="000000"/>
                <w:sz w:val="20"/>
                <w:szCs w:val="20"/>
              </w:rPr>
              <w:t>30343385@qq.com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金属缠绕垫片、密封垫片的生产；五金件的销售；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17.12.04;29.11.04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eastAsia="宋体" w:cs="Times New Roman"/>
          <w:b/>
          <w:color w:val="000000"/>
          <w:sz w:val="20"/>
          <w:szCs w:val="20"/>
        </w:rPr>
      </w:pPr>
      <w:r>
        <w:rPr>
          <w:rFonts w:hint="eastAsia" w:ascii="宋体" w:hAnsi="宋体"/>
          <w:b/>
          <w:color w:val="000000"/>
          <w:sz w:val="20"/>
          <w:szCs w:val="20"/>
        </w:rPr>
        <w:t>部门：</w:t>
      </w:r>
      <w:r>
        <w:rPr>
          <w:rFonts w:hint="eastAsia" w:ascii="宋体" w:hAnsi="宋体" w:eastAsia="宋体" w:cs="Times New Roman"/>
          <w:b/>
          <w:color w:val="000000"/>
          <w:sz w:val="20"/>
          <w:szCs w:val="20"/>
          <w:lang w:eastAsia="zh-CN"/>
        </w:rPr>
        <w:t>管理层 办公室 生产部 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hAnsi="宋体"/>
                <w:color w:val="000000"/>
                <w:sz w:val="20"/>
                <w:szCs w:val="20"/>
              </w:rPr>
            </w:pPr>
            <w:r>
              <w:rPr>
                <w:rFonts w:hint="eastAsia" w:ascii="宋体" w:hAnsi="宋体"/>
                <w:b/>
                <w:color w:val="000000"/>
                <w:sz w:val="20"/>
                <w:szCs w:val="20"/>
              </w:rPr>
              <w:t>产品：</w:t>
            </w:r>
            <w:r>
              <w:rPr>
                <w:rFonts w:hint="eastAsia" w:ascii="宋体" w:hAnsi="宋体"/>
                <w:color w:val="000000"/>
                <w:sz w:val="20"/>
                <w:szCs w:val="20"/>
              </w:rPr>
              <w:t xml:space="preserve">金属缠绕垫片、密封垫片的生产；五金件的销售； </w:t>
            </w:r>
          </w:p>
          <w:p>
            <w:pPr>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eastAsia="zh-CN"/>
              </w:rPr>
              <w:t>管理层 办公室 生产部 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Times New Roman"/>
                <w:b/>
                <w:color w:val="000000"/>
                <w:sz w:val="20"/>
                <w:szCs w:val="20"/>
                <w:lang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lang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重庆市九龙坡区谢家湾文化七村24栋附1号</w:t>
            </w:r>
            <w:bookmarkEnd w:id="24"/>
          </w:p>
          <w:p>
            <w:pPr>
              <w:tabs>
                <w:tab w:val="left" w:pos="360"/>
              </w:tabs>
              <w:ind w:left="357" w:hanging="357"/>
              <w:rPr>
                <w:rFonts w:ascii="宋体"/>
                <w:color w:val="000000" w:themeColor="text1"/>
                <w:sz w:val="20"/>
                <w:szCs w:val="20"/>
              </w:rPr>
            </w:pPr>
            <w:r>
              <w:rPr>
                <w:rFonts w:hint="eastAsia" w:ascii="宋体" w:hAnsi="宋体"/>
                <w:color w:val="000000"/>
                <w:sz w:val="20"/>
                <w:szCs w:val="20"/>
              </w:rPr>
              <w:t>其使用的建</w:t>
            </w:r>
            <w:r>
              <w:rPr>
                <w:rFonts w:hint="eastAsia" w:ascii="宋体" w:hAnsi="宋体"/>
                <w:color w:val="000000" w:themeColor="text1"/>
                <w:sz w:val="20"/>
                <w:szCs w:val="20"/>
              </w:rPr>
              <w:t>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t>□租用办公用房</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52"/>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hint="eastAsia" w:ascii="宋体" w:hAnsi="宋体"/>
                <w:color w:val="000000" w:themeColor="text1"/>
                <w:sz w:val="20"/>
                <w:szCs w:val="20"/>
              </w:rPr>
              <w:sym w:font="Wingdings 2" w:char="0052"/>
            </w:r>
            <w:r>
              <w:rPr>
                <w:rFonts w:hint="eastAsia" w:ascii="宋体" w:hAnsi="宋体"/>
                <w:color w:val="000000" w:themeColor="text1"/>
                <w:sz w:val="20"/>
                <w:szCs w:val="20"/>
              </w:rPr>
              <w:t>无</w:t>
            </w:r>
          </w:p>
          <w:p>
            <w:pPr>
              <w:tabs>
                <w:tab w:val="left" w:pos="360"/>
              </w:tabs>
              <w:ind w:left="357" w:hanging="357"/>
              <w:rPr>
                <w:rFonts w:ascii="宋体"/>
                <w:b/>
                <w:color w:val="000000"/>
                <w:sz w:val="24"/>
              </w:rPr>
            </w:pPr>
            <w:r>
              <w:rPr>
                <w:rFonts w:hint="eastAsia" w:ascii="宋体" w:hAnsi="宋体"/>
                <w:b/>
                <w:color w:val="000000" w:themeColor="text1"/>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color w:val="000000"/>
                <w:sz w:val="20"/>
                <w:szCs w:val="20"/>
                <w:lang w:val="en-US" w:eastAsia="zh-CN"/>
              </w:rPr>
            </w:pPr>
            <w:r>
              <w:rPr>
                <w:rFonts w:hint="eastAsia" w:ascii="宋体" w:hAnsi="宋体"/>
                <w:color w:val="auto"/>
                <w:spacing w:val="-10"/>
                <w:sz w:val="20"/>
                <w:szCs w:val="20"/>
                <w:lang w:eastAsia="zh-CN"/>
              </w:rPr>
              <w:t>■</w:t>
            </w:r>
            <w:r>
              <w:rPr>
                <w:rFonts w:hint="eastAsia" w:ascii="宋体"/>
                <w:color w:val="000000"/>
                <w:sz w:val="20"/>
                <w:szCs w:val="20"/>
              </w:rPr>
              <w:t>产品技术标准号：《钢制管法兰、垫片、紧固件  HG/T20592-20635-2009》、《钢制管法兰用缠绕式垫片HG/T20610-2009》 、《钢制管法兰用非金属缠绕式垫片HG/T20627-2009》等</w:t>
            </w:r>
            <w:r>
              <w:rPr>
                <w:rFonts w:hint="eastAsia" w:ascii="宋体"/>
                <w:color w:val="000000"/>
                <w:sz w:val="20"/>
                <w:szCs w:val="20"/>
                <w:lang w:val="en-US" w:eastAsia="zh-CN"/>
              </w:rPr>
              <w:t>以及客户要求等</w:t>
            </w:r>
          </w:p>
          <w:p>
            <w:pPr>
              <w:rPr>
                <w:rFonts w:ascii="宋体"/>
                <w:color w:val="auto"/>
                <w:spacing w:val="-10"/>
                <w:sz w:val="20"/>
                <w:szCs w:val="20"/>
              </w:rPr>
            </w:pPr>
            <w:r>
              <w:rPr>
                <w:rFonts w:hint="eastAsia" w:ascii="宋体" w:hAnsi="宋体" w:eastAsia="宋体" w:cs="宋体"/>
                <w:color w:val="auto"/>
                <w:sz w:val="21"/>
                <w:szCs w:val="21"/>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000000" w:themeColor="text1"/>
                <w:spacing w:val="-10"/>
                <w:sz w:val="20"/>
                <w:szCs w:val="20"/>
              </w:rPr>
              <w:t>现场是否有产品检验报告□</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eastAsia="宋体" w:cs="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auto"/>
                <w:sz w:val="20"/>
                <w:szCs w:val="20"/>
              </w:rPr>
              <w:t>，是否有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rPr>
            </w:pPr>
            <w:r>
              <w:rPr>
                <w:rFonts w:hint="eastAsia" w:ascii="宋体" w:hAnsi="宋体"/>
                <w:color w:val="000000"/>
                <w:sz w:val="20"/>
                <w:szCs w:val="20"/>
              </w:rPr>
              <w:t>金属缠绕垫片工艺流程：</w:t>
            </w:r>
          </w:p>
          <w:p>
            <w:pPr>
              <w:rPr>
                <w:rFonts w:hint="eastAsia" w:ascii="宋体" w:hAnsi="宋体"/>
                <w:color w:val="000000"/>
                <w:sz w:val="20"/>
                <w:szCs w:val="20"/>
              </w:rPr>
            </w:pPr>
            <w:r>
              <w:rPr>
                <w:rFonts w:hint="eastAsia" w:ascii="宋体" w:hAnsi="宋体"/>
                <w:color w:val="000000"/>
                <w:sz w:val="20"/>
                <w:szCs w:val="20"/>
              </w:rPr>
              <w:t>下料——盘环——</w:t>
            </w:r>
            <w:bookmarkStart w:id="25" w:name="_GoBack"/>
            <w:bookmarkEnd w:id="25"/>
            <w:r>
              <w:rPr>
                <w:rFonts w:hint="eastAsia" w:ascii="宋体" w:hAnsi="宋体"/>
                <w:color w:val="000000"/>
                <w:sz w:val="20"/>
                <w:szCs w:val="20"/>
              </w:rPr>
              <w:t>焊接——铣环——打磨——缠绕——检验——包装——入库；</w:t>
            </w:r>
          </w:p>
          <w:p>
            <w:pPr>
              <w:rPr>
                <w:rFonts w:hint="eastAsia" w:ascii="宋体" w:hAnsi="宋体"/>
                <w:color w:val="000000"/>
                <w:sz w:val="20"/>
                <w:szCs w:val="20"/>
              </w:rPr>
            </w:pPr>
            <w:r>
              <w:rPr>
                <w:rFonts w:hint="eastAsia" w:ascii="宋体" w:hAnsi="宋体"/>
                <w:color w:val="000000"/>
                <w:sz w:val="20"/>
                <w:szCs w:val="20"/>
              </w:rPr>
              <w:t>密封垫片流程：下料——冲孔成型——检验——包装——入库</w:t>
            </w:r>
          </w:p>
          <w:p>
            <w:pPr>
              <w:rPr>
                <w:rFonts w:ascii="宋体"/>
                <w:color w:val="000000" w:themeColor="text1"/>
                <w:sz w:val="20"/>
                <w:szCs w:val="20"/>
              </w:rPr>
            </w:pPr>
            <w:r>
              <w:rPr>
                <w:rFonts w:hint="eastAsia" w:ascii="宋体" w:hAnsi="宋体"/>
                <w:color w:val="000000"/>
                <w:sz w:val="20"/>
                <w:szCs w:val="20"/>
              </w:rPr>
              <w:t>五金件的销售</w:t>
            </w:r>
            <w:r>
              <w:rPr>
                <w:rFonts w:hint="eastAsia" w:ascii="宋体" w:hAnsi="宋体"/>
                <w:color w:val="000000"/>
                <w:sz w:val="20"/>
                <w:szCs w:val="20"/>
                <w:lang w:eastAsia="zh-CN"/>
              </w:rPr>
              <w:t>流程：签订合同</w:t>
            </w:r>
            <w:r>
              <w:rPr>
                <w:rFonts w:hint="eastAsia" w:ascii="宋体" w:hAnsi="宋体"/>
                <w:color w:val="000000"/>
                <w:sz w:val="20"/>
                <w:szCs w:val="20"/>
                <w:lang w:val="en-US" w:eastAsia="zh-CN"/>
              </w:rPr>
              <w:t>--</w:t>
            </w:r>
            <w:r>
              <w:rPr>
                <w:rFonts w:hint="eastAsia" w:ascii="宋体" w:hAnsi="宋体"/>
                <w:color w:val="000000"/>
                <w:sz w:val="20"/>
                <w:szCs w:val="20"/>
                <w:lang w:eastAsia="zh-CN"/>
              </w:rPr>
              <w:t>采购产品</w:t>
            </w:r>
            <w:r>
              <w:rPr>
                <w:rFonts w:hint="eastAsia" w:ascii="宋体" w:hAnsi="宋体"/>
                <w:color w:val="000000"/>
                <w:sz w:val="20"/>
                <w:szCs w:val="20"/>
                <w:lang w:val="en-US" w:eastAsia="zh-CN"/>
              </w:rPr>
              <w:t>--验收--交付客户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themeColor="text1"/>
                <w:sz w:val="20"/>
                <w:szCs w:val="20"/>
                <w:lang w:val="en-US"/>
              </w:rPr>
            </w:pPr>
            <w:r>
              <w:rPr>
                <w:rFonts w:hint="eastAsia" w:ascii="宋体" w:hAnsi="宋体"/>
                <w:color w:val="000000" w:themeColor="text1"/>
                <w:sz w:val="20"/>
                <w:szCs w:val="20"/>
              </w:rPr>
              <w:t>关键过程有：</w:t>
            </w:r>
            <w:r>
              <w:rPr>
                <w:rFonts w:hint="eastAsia" w:ascii="宋体" w:hAnsi="宋体" w:cs="宋体"/>
                <w:color w:val="000000" w:themeColor="text1"/>
                <w:sz w:val="21"/>
                <w:szCs w:val="21"/>
                <w:lang w:eastAsia="zh-CN"/>
              </w:rPr>
              <w:t>机</w:t>
            </w:r>
            <w:r>
              <w:rPr>
                <w:rFonts w:hint="eastAsia" w:ascii="宋体" w:hAnsi="宋体" w:cs="宋体"/>
                <w:color w:val="000000" w:themeColor="text1"/>
                <w:sz w:val="21"/>
                <w:szCs w:val="21"/>
              </w:rPr>
              <w:t>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针对关键过程建立的控制文件有：</w:t>
            </w:r>
            <w:r>
              <w:rPr>
                <w:rFonts w:hint="eastAsia" w:ascii="宋体" w:hAnsi="宋体"/>
                <w:color w:val="000000" w:themeColor="text1"/>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需要确认过程：</w:t>
            </w:r>
            <w:r>
              <w:rPr>
                <w:rFonts w:hint="eastAsia"/>
                <w:szCs w:val="21"/>
              </w:rPr>
              <w:t>焊接</w:t>
            </w:r>
            <w:r>
              <w:rPr>
                <w:rFonts w:hint="eastAsia"/>
                <w:szCs w:val="21"/>
                <w:lang w:eastAsia="zh-CN"/>
              </w:rPr>
              <w:t>过程、销售过程</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themeColor="text1"/>
                <w:sz w:val="20"/>
                <w:szCs w:val="20"/>
              </w:rPr>
              <w:t>外包过程有：</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s="Times New Roman"/>
                <w:color w:val="000000"/>
                <w:sz w:val="20"/>
                <w:szCs w:val="20"/>
              </w:rPr>
              <w:t>主要设备：冲床、车床、铣床、打磨机、冲剪机、</w:t>
            </w:r>
            <w:r>
              <w:rPr>
                <w:rFonts w:hint="eastAsia" w:ascii="宋体" w:hAnsi="宋体" w:cs="Times New Roman"/>
                <w:color w:val="000000"/>
                <w:sz w:val="20"/>
                <w:szCs w:val="20"/>
                <w:lang w:eastAsia="zh-CN"/>
              </w:rPr>
              <w:t>数控</w:t>
            </w:r>
            <w:r>
              <w:rPr>
                <w:rFonts w:hint="eastAsia" w:ascii="宋体" w:hAnsi="宋体" w:cs="Times New Roman"/>
                <w:color w:val="000000"/>
                <w:sz w:val="20"/>
                <w:szCs w:val="20"/>
              </w:rPr>
              <w:t>缠绕机、弯环机</w:t>
            </w:r>
            <w:r>
              <w:rPr>
                <w:rFonts w:hint="eastAsia" w:ascii="宋体" w:hAnsi="宋体" w:cs="Times New Roman"/>
                <w:color w:val="000000"/>
                <w:sz w:val="20"/>
                <w:szCs w:val="20"/>
                <w:lang w:eastAsia="zh-CN"/>
              </w:rPr>
              <w:t>、点焊机、雕刻机</w:t>
            </w:r>
            <w:r>
              <w:rPr>
                <w:rFonts w:hint="eastAsia" w:ascii="宋体" w:hAnsi="宋体" w:cs="Times New Roman"/>
                <w:color w:val="000000"/>
                <w:sz w:val="20"/>
                <w:szCs w:val="20"/>
              </w:rPr>
              <w:t>及办公设备</w:t>
            </w:r>
            <w:r>
              <w:rPr>
                <w:rFonts w:hint="eastAsia" w:ascii="宋体" w:hAnsi="宋体" w:cs="Times New Roman"/>
                <w:color w:val="000000"/>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监视和测量设备（请简述主要监视和测量设备）：</w:t>
            </w:r>
            <w:r>
              <w:rPr>
                <w:rFonts w:hint="eastAsia"/>
                <w:color w:val="000000" w:themeColor="text1"/>
                <w:sz w:val="21"/>
                <w:szCs w:val="21"/>
                <w:lang w:eastAsia="zh-CN"/>
              </w:rPr>
              <w:t>游标卡尺、钢卷尺等</w:t>
            </w:r>
            <w:r>
              <w:rPr>
                <w:rFonts w:hint="eastAsia" w:ascii="宋体" w:hAnsi="宋体"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检测设备是否满足要求</w:t>
            </w:r>
            <w:r>
              <w:rPr>
                <w:rFonts w:hint="eastAsia" w:ascii="宋体" w:hAnsi="宋体" w:eastAsia="宋体" w:cs="宋体"/>
                <w:color w:val="000000" w:themeColor="text1"/>
                <w:sz w:val="21"/>
                <w:szCs w:val="21"/>
              </w:rPr>
              <w:sym w:font="Wingdings 2" w:char="00A3"/>
            </w:r>
            <w:r>
              <w:rPr>
                <w:rFonts w:hint="eastAsia" w:ascii="宋体" w:hAnsi="宋体" w:eastAsia="宋体" w:cs="宋体"/>
                <w:color w:val="000000" w:themeColor="text1"/>
                <w:sz w:val="21"/>
                <w:szCs w:val="21"/>
              </w:rPr>
              <w:t>是</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否</w:t>
            </w:r>
            <w:r>
              <w:rPr>
                <w:rFonts w:hint="eastAsia" w:ascii="宋体" w:hAnsi="宋体" w:eastAsia="宋体" w:cs="宋体"/>
                <w:color w:val="000000" w:themeColor="text1"/>
                <w:sz w:val="21"/>
                <w:szCs w:val="21"/>
                <w:lang w:eastAsia="zh-CN"/>
              </w:rPr>
              <w:t>（组织能提供游标卡尺、钢卷尺等</w:t>
            </w:r>
            <w:r>
              <w:rPr>
                <w:rFonts w:hint="eastAsia" w:ascii="宋体" w:hAnsi="宋体" w:eastAsia="宋体" w:cs="宋体"/>
                <w:color w:val="000000" w:themeColor="text1"/>
                <w:sz w:val="21"/>
                <w:szCs w:val="21"/>
                <w:lang w:val="en-US" w:eastAsia="zh-CN"/>
              </w:rPr>
              <w:t>以上检具</w:t>
            </w:r>
            <w:r>
              <w:rPr>
                <w:rFonts w:hint="eastAsia" w:ascii="宋体" w:hAnsi="宋体" w:eastAsia="宋体" w:cs="宋体"/>
                <w:color w:val="000000" w:themeColor="text1"/>
                <w:sz w:val="21"/>
                <w:szCs w:val="21"/>
                <w:lang w:eastAsia="zh-CN"/>
              </w:rPr>
              <w:t>的</w:t>
            </w:r>
            <w:r>
              <w:rPr>
                <w:rFonts w:hint="eastAsia" w:ascii="宋体" w:hAnsi="宋体" w:eastAsia="宋体" w:cs="宋体"/>
                <w:color w:val="000000" w:themeColor="text1"/>
                <w:sz w:val="21"/>
                <w:szCs w:val="21"/>
                <w:lang w:val="en-US" w:eastAsia="zh-CN"/>
              </w:rPr>
              <w:t>有效</w:t>
            </w:r>
            <w:r>
              <w:rPr>
                <w:rFonts w:hint="eastAsia" w:ascii="宋体" w:hAnsi="宋体" w:eastAsia="宋体" w:cs="宋体"/>
                <w:color w:val="000000" w:themeColor="text1"/>
                <w:sz w:val="21"/>
                <w:szCs w:val="21"/>
                <w:lang w:eastAsia="zh-CN"/>
              </w:rPr>
              <w:t>校准记录。）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Cs w:val="22"/>
                <w:lang w:eastAsia="zh-CN"/>
              </w:rPr>
              <w:t>生产部、</w:t>
            </w:r>
            <w:r>
              <w:rPr>
                <w:rFonts w:hint="eastAsia"/>
                <w:szCs w:val="22"/>
                <w:lang w:val="en-US" w:eastAsia="zh-CN"/>
              </w:rPr>
              <w:t>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s="宋体"/>
                <w:w w:val="90"/>
                <w:szCs w:val="21"/>
              </w:rPr>
              <w:t>建立有《内部审核控制程序》，于</w:t>
            </w:r>
            <w:r>
              <w:rPr>
                <w:rFonts w:hint="eastAsia" w:ascii="宋体" w:hAnsi="宋体" w:cs="宋体"/>
                <w:w w:val="90"/>
                <w:szCs w:val="21"/>
                <w:lang w:eastAsia="zh-CN"/>
              </w:rPr>
              <w:t>2020年</w:t>
            </w:r>
            <w:r>
              <w:rPr>
                <w:rFonts w:hint="eastAsia" w:ascii="宋体" w:hAnsi="宋体" w:cs="宋体"/>
                <w:w w:val="90"/>
                <w:szCs w:val="21"/>
                <w:lang w:val="en-US" w:eastAsia="zh-CN"/>
              </w:rPr>
              <w:t>12</w:t>
            </w:r>
            <w:r>
              <w:rPr>
                <w:rFonts w:hint="eastAsia" w:ascii="宋体" w:hAnsi="宋体" w:cs="宋体"/>
                <w:w w:val="90"/>
                <w:szCs w:val="21"/>
                <w:lang w:eastAsia="zh-CN"/>
              </w:rPr>
              <w:t>月</w:t>
            </w:r>
            <w:r>
              <w:rPr>
                <w:rFonts w:hint="eastAsia" w:ascii="宋体" w:hAnsi="宋体" w:cs="宋体"/>
                <w:w w:val="90"/>
                <w:szCs w:val="21"/>
                <w:lang w:val="en-US" w:eastAsia="zh-CN"/>
              </w:rPr>
              <w:t>10</w:t>
            </w:r>
            <w:r>
              <w:rPr>
                <w:rFonts w:hint="eastAsia" w:ascii="宋体" w:hAnsi="宋体" w:cs="宋体"/>
                <w:w w:val="90"/>
                <w:szCs w:val="21"/>
                <w:lang w:eastAsia="zh-CN"/>
              </w:rPr>
              <w:t>日</w:t>
            </w:r>
            <w:r>
              <w:rPr>
                <w:rFonts w:hint="eastAsia" w:ascii="宋体" w:hAnsi="宋体" w:cs="宋体"/>
                <w:w w:val="90"/>
                <w:szCs w:val="21"/>
              </w:rPr>
              <w:t>进行了内部审核。内部审核组组成：</w:t>
            </w:r>
            <w:r>
              <w:rPr>
                <w:rFonts w:hint="eastAsia" w:ascii="宋体" w:hAnsi="宋体" w:cs="宋体"/>
                <w:w w:val="90"/>
                <w:szCs w:val="21"/>
                <w:lang w:eastAsia="zh-CN"/>
              </w:rPr>
              <w:t>组员：</w:t>
            </w:r>
            <w:r>
              <w:rPr>
                <w:rFonts w:hint="eastAsia" w:ascii="宋体" w:hAnsi="宋体" w:cs="宋体"/>
                <w:w w:val="90"/>
                <w:szCs w:val="21"/>
              </w:rPr>
              <w:t xml:space="preserve">赖宗秀（办公室） A    </w:t>
            </w:r>
            <w:r>
              <w:rPr>
                <w:rFonts w:hint="eastAsia" w:ascii="宋体" w:hAnsi="宋体" w:cs="宋体"/>
                <w:w w:val="90"/>
                <w:szCs w:val="21"/>
                <w:lang w:eastAsia="zh-CN"/>
              </w:rPr>
              <w:t>组长：</w:t>
            </w:r>
            <w:r>
              <w:rPr>
                <w:rFonts w:hint="eastAsia" w:ascii="宋体" w:hAnsi="宋体" w:cs="宋体"/>
                <w:w w:val="90"/>
                <w:szCs w:val="21"/>
              </w:rPr>
              <w:t xml:space="preserve">陈兰（生产部）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25</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eastAsia="zh-CN"/>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ascii="宋体" w:hAnsi="宋体"/>
          <w:szCs w:val="21"/>
          <w:u w:val="single"/>
        </w:rPr>
        <w:t>金属缠绕垫片、密封垫片的生产；五金件的销售；</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1852930</wp:posOffset>
            </wp:positionH>
            <wp:positionV relativeFrom="paragraph">
              <wp:posOffset>251460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5408" behindDoc="0" locked="0" layoutInCell="1" allowOverlap="1">
            <wp:simplePos x="0" y="0"/>
            <wp:positionH relativeFrom="column">
              <wp:posOffset>1869440</wp:posOffset>
            </wp:positionH>
            <wp:positionV relativeFrom="paragraph">
              <wp:posOffset>20320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color w:val="000000"/>
          <w:szCs w:val="21"/>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21</w:t>
      </w:r>
      <w:r>
        <w:rPr>
          <w:rFonts w:hint="eastAsia"/>
          <w:color w:val="000000"/>
          <w:szCs w:val="21"/>
        </w:rPr>
        <w:t>日</w:t>
      </w:r>
    </w:p>
    <w:p>
      <w:pPr>
        <w:jc w:val="both"/>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hint="eastAsia" w:eastAsia="隶书"/>
          <w:color w:val="000000"/>
          <w:szCs w:val="21"/>
        </w:rPr>
      </w:pP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受审核方：重庆艾索雷森特种密封材料厂</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1</w:t>
            </w:r>
          </w:p>
        </w:tc>
        <w:tc>
          <w:tcPr>
            <w:tcW w:w="5681" w:type="dxa"/>
            <w:vAlign w:val="center"/>
          </w:tcPr>
          <w:p>
            <w:pPr>
              <w:pStyle w:val="5"/>
              <w:pBdr>
                <w:bottom w:val="none" w:color="auto" w:sz="0" w:space="0"/>
              </w:pBdr>
              <w:ind w:right="600" w:rightChars="0"/>
              <w:jc w:val="both"/>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无</w:t>
            </w:r>
          </w:p>
        </w:tc>
        <w:tc>
          <w:tcPr>
            <w:tcW w:w="1688" w:type="dxa"/>
            <w:vAlign w:val="center"/>
          </w:tcPr>
          <w:p>
            <w:pPr>
              <w:pStyle w:val="5"/>
              <w:pBdr>
                <w:bottom w:val="none" w:color="auto" w:sz="0" w:space="0"/>
              </w:pBdr>
              <w:ind w:right="600" w:rightChars="0"/>
              <w:jc w:val="both"/>
              <w:rPr>
                <w:rFonts w:hint="default" w:ascii="Calibri" w:hAnsi="Calibri" w:eastAsia="宋体" w:cs="Times New Roman"/>
                <w:color w:val="FF0000"/>
                <w:kern w:val="2"/>
                <w:sz w:val="21"/>
                <w:szCs w:val="21"/>
                <w:lang w:val="en-US" w:eastAsia="zh-CN" w:bidi="ar-SA"/>
              </w:rPr>
            </w:pP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sz w:val="22"/>
                <w:szCs w:val="22"/>
              </w:rPr>
              <w:drawing>
                <wp:anchor distT="0" distB="0" distL="114300" distR="114300" simplePos="0" relativeHeight="251673600" behindDoc="0" locked="0" layoutInCell="1" allowOverlap="1">
                  <wp:simplePos x="0" y="0"/>
                  <wp:positionH relativeFrom="column">
                    <wp:posOffset>583565</wp:posOffset>
                  </wp:positionH>
                  <wp:positionV relativeFrom="paragraph">
                    <wp:posOffset>10795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李懿帆</w:t>
            </w:r>
            <w:r>
              <w:rPr>
                <w:rFonts w:hint="eastAsia"/>
                <w:b/>
                <w:color w:val="000000"/>
                <w:sz w:val="22"/>
                <w:szCs w:val="22"/>
              </w:rPr>
              <w:t xml:space="preserve">         日期：</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506095</wp:posOffset>
                  </wp:positionH>
                  <wp:positionV relativeFrom="paragraph">
                    <wp:posOffset>6985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26930"/>
    <w:rsid w:val="07356E12"/>
    <w:rsid w:val="0B4D53ED"/>
    <w:rsid w:val="12731CC1"/>
    <w:rsid w:val="18B9718A"/>
    <w:rsid w:val="18FD07DF"/>
    <w:rsid w:val="20BE0566"/>
    <w:rsid w:val="2925607D"/>
    <w:rsid w:val="2E32558B"/>
    <w:rsid w:val="34F03551"/>
    <w:rsid w:val="379368B0"/>
    <w:rsid w:val="3F06279E"/>
    <w:rsid w:val="50B6196B"/>
    <w:rsid w:val="59C46F6E"/>
    <w:rsid w:val="5ECA5DF7"/>
    <w:rsid w:val="62110AE4"/>
    <w:rsid w:val="6227504D"/>
    <w:rsid w:val="64C71282"/>
    <w:rsid w:val="73225D91"/>
    <w:rsid w:val="74D739E8"/>
    <w:rsid w:val="75E4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2021-02-23T14:55:30Z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