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0101-2021-QEO</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湖南新塘电气设备有限公司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Hunan Xintang Electrical Equipment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岳阳经济技术开发区西塘镇三桥村铁塘组</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414000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b w:val="0"/>
          <w:bCs/>
          <w:color w:val="000000" w:themeColor="text1"/>
          <w:sz w:val="22"/>
          <w:szCs w:val="22"/>
          <w:u w:val="single"/>
        </w:rPr>
      </w:pPr>
      <w:r>
        <w:rPr>
          <w:rFonts w:hint="eastAsia"/>
          <w:b w:val="0"/>
          <w:bCs/>
          <w:color w:val="000000" w:themeColor="text1"/>
          <w:sz w:val="22"/>
          <w:szCs w:val="22"/>
        </w:rPr>
        <w:t>(英文)：Tietang formation, Sanqiao village, Xitang Town, Yueyang Economic and Technological Development Zone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岳阳经济技术开发区西塘镇三桥村铁塘组</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414000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(英文)：Tietang formation, Sanqiao village, Xitang Town, Yueyang Economic and Technological Development Zone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91430600MA4Q791M7U</w:t>
      </w:r>
      <w:bookmarkEnd w:id="7"/>
      <w:r>
        <w:rPr>
          <w:rFonts w:hint="eastAsia"/>
          <w:b w:val="0"/>
          <w:bCs/>
          <w:color w:val="000000" w:themeColor="text1"/>
          <w:sz w:val="22"/>
          <w:szCs w:val="22"/>
          <w:lang w:eastAsia="zh-CN"/>
        </w:rPr>
        <w:t>，</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18169303960</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宋海波</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宋海波</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21</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Q：安全工器具（接地线（棒）、操作杆、绝缘梯、绝缘护罩、个人保安线、标识牌、立式围栏、移动式遮栏、防鸟设备、绝缘胶垫）的加工，拉线保护套，安全工具柜、电杆防撞桶，脚扣、电杆防撞贴，铁附件、电力金具、劳动防护用品的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安全工器具（接地线（棒）、操作杆、绝缘梯、绝缘护罩、个人保安线、标识牌、立式围栏、移动式遮栏、防鸟设备、绝缘胶垫）的加工，拉线保护套，安全工具柜、电杆防撞桶，脚扣、电杆防撞贴，铁附件、电力金具、劳动防护用品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安全工器具（接地线（棒）、操作杆、绝缘梯、绝缘护罩、个人保安线、标识牌、立式围栏、移动式遮栏、防鸟设备、绝缘胶垫）的加工，拉线保护套，安全工具柜、电杆防撞桶，脚扣、电杆防撞贴，铁附件、电力金具、劳动防护用品的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QMS（英文）Processing of safety tools and instruments (grounding wire (rod), operating rod, insulating ladder, insulating shield, personal security wire, signboard, vertical fence, mobile barrier, bird proof equipment, insulating rubber pad), sales of pull wire protective cover, safety tool cabinet, pole anti-collision bucket, foot buckle, pole anti-collision sticker, iron accessories, power fittings and labor protection articles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 xml:space="preserve">The Relative Environment Management Activities about </w:t>
      </w:r>
      <w:r>
        <w:rPr>
          <w:rFonts w:hint="eastAsia"/>
          <w:b w:val="0"/>
          <w:bCs/>
          <w:color w:val="000000" w:themeColor="text1"/>
          <w:sz w:val="22"/>
          <w:szCs w:val="22"/>
        </w:rPr>
        <w:t>Processing of safety tools and instruments (grounding wire (rod), operating rod, insulating ladder, insulating shield, personal security wire, signboard, vertical fence, mobile barrier, bird proof equipment, insulating rubber pad), sales of pull wire protective cover, safety tool cabinet, pole anti-collision bucket, foot buckle, pole anti-collision sticker, iron accessories, power fittings and labor protection articles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val="en-US" w:eastAsia="zh-CN"/>
        </w:rPr>
        <w:t xml:space="preserve">The Relative Occupational Health Safety Management Activities about </w:t>
      </w:r>
      <w:r>
        <w:rPr>
          <w:rFonts w:hint="eastAsia"/>
          <w:b w:val="0"/>
          <w:bCs/>
          <w:color w:val="000000" w:themeColor="text1"/>
          <w:sz w:val="22"/>
          <w:szCs w:val="22"/>
        </w:rPr>
        <w:t>Processing of safety tools and instruments (grounding wire (rod), operating rod, insulating ladder, insulating shield, personal security wire, signboard, vertical fence, mobile barrier, bird proof equipment, insulating rubber pad), sales of pull wire protective cover, safety tool cabinet, pole anti-collision bucket, foot buckle, pole anti-collision sticker, iron accessories, power fittings and labor protection articles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FF"/>
          <w:sz w:val="22"/>
          <w:szCs w:val="22"/>
        </w:rPr>
        <w:sym w:font="Wingdings 2" w:char="F0A3"/>
      </w:r>
      <w:r>
        <w:rPr>
          <w:rFonts w:hint="eastAsia"/>
          <w:b w:val="0"/>
          <w:bCs/>
          <w:color w:val="0000FF"/>
          <w:sz w:val="22"/>
          <w:szCs w:val="22"/>
        </w:rPr>
        <w:t>打</w:t>
      </w:r>
      <w:r>
        <w:rPr>
          <w:rFonts w:ascii="Symbol" w:hAnsi="Symbol"/>
          <w:b w:val="0"/>
          <w:bCs/>
          <w:color w:val="0000FF"/>
          <w:sz w:val="22"/>
          <w:szCs w:val="22"/>
        </w:rPr>
        <w:sym w:font="Symbol" w:char="F0D6"/>
      </w:r>
      <w:r>
        <w:rPr>
          <w:rFonts w:hint="eastAsia"/>
          <w:b w:val="0"/>
          <w:bCs/>
          <w:color w:val="0000FF"/>
          <w:sz w:val="22"/>
          <w:szCs w:val="22"/>
        </w:rPr>
        <w:t>纸质</w:t>
      </w:r>
      <w:r>
        <w:rPr>
          <w:rFonts w:hint="eastAsia"/>
          <w:b w:val="0"/>
          <w:bCs/>
          <w:color w:val="000000" w:themeColor="text1"/>
          <w:sz w:val="22"/>
          <w:szCs w:val="22"/>
        </w:rPr>
        <w:t xml:space="preserve">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ascii="宋体" w:hAnsi="宋体"/>
          <w:b/>
          <w:bCs/>
          <w:color w:val="0000FF"/>
          <w:kern w:val="0"/>
          <w:sz w:val="24"/>
        </w:rPr>
        <w:drawing>
          <wp:anchor distT="0" distB="0" distL="114300" distR="114300" simplePos="0" relativeHeight="251658240" behindDoc="0" locked="0" layoutInCell="1" allowOverlap="1">
            <wp:simplePos x="0" y="0"/>
            <wp:positionH relativeFrom="column">
              <wp:posOffset>3658235</wp:posOffset>
            </wp:positionH>
            <wp:positionV relativeFrom="paragraph">
              <wp:posOffset>48895</wp:posOffset>
            </wp:positionV>
            <wp:extent cx="954405" cy="4597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954405" cy="45974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2021.2.23</w:t>
      </w:r>
      <w:r>
        <w:rPr>
          <w:rFonts w:hint="eastAsia"/>
          <w:b/>
          <w:color w:val="000000" w:themeColor="text1"/>
          <w:sz w:val="22"/>
          <w:szCs w:val="22"/>
        </w:rPr>
        <w:t xml:space="preserve">                               日期：</w:t>
      </w:r>
      <w:r>
        <w:rPr>
          <w:rFonts w:hint="eastAsia"/>
          <w:b/>
          <w:color w:val="000000" w:themeColor="text1"/>
          <w:sz w:val="22"/>
          <w:szCs w:val="22"/>
          <w:lang w:val="en-US" w:eastAsia="zh-CN"/>
        </w:rPr>
        <w:t>2021.2.23</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firstLine="361" w:firstLineChars="200"/>
        <w:textAlignment w:val="auto"/>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keepNext w:val="0"/>
        <w:keepLines w:val="0"/>
        <w:pageBreakBefore w:val="0"/>
        <w:widowControl w:val="0"/>
        <w:numPr>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b/>
          <w:color w:val="000000" w:themeColor="text1"/>
          <w:sz w:val="18"/>
          <w:szCs w:val="18"/>
          <w:lang w:eastAsia="zh-CN"/>
        </w:rPr>
      </w:pPr>
      <w:bookmarkStart w:id="16" w:name="_GoBack"/>
      <w:r>
        <w:rPr>
          <w:rFonts w:hint="eastAsia" w:ascii="宋体" w:hAnsi="宋体" w:eastAsia="宋体"/>
          <w:b/>
          <w:color w:val="000000" w:themeColor="text1"/>
          <w:sz w:val="18"/>
          <w:szCs w:val="18"/>
          <w:lang w:eastAsia="zh-CN"/>
        </w:rPr>
        <w:drawing>
          <wp:anchor distT="0" distB="0" distL="114300" distR="114300" simplePos="0" relativeHeight="251659264" behindDoc="0" locked="0" layoutInCell="1" allowOverlap="1">
            <wp:simplePos x="0" y="0"/>
            <wp:positionH relativeFrom="column">
              <wp:posOffset>565785</wp:posOffset>
            </wp:positionH>
            <wp:positionV relativeFrom="paragraph">
              <wp:posOffset>287020</wp:posOffset>
            </wp:positionV>
            <wp:extent cx="4321175" cy="7113270"/>
            <wp:effectExtent l="0" t="0" r="9525" b="11430"/>
            <wp:wrapNone/>
            <wp:docPr id="3" name="图片 3" descr="d282496c00dd6bfc9524e0f57f62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282496c00dd6bfc9524e0f57f62ba0"/>
                    <pic:cNvPicPr>
                      <a:picLocks noChangeAspect="1"/>
                    </pic:cNvPicPr>
                  </pic:nvPicPr>
                  <pic:blipFill>
                    <a:blip r:embed="rId6"/>
                    <a:stretch>
                      <a:fillRect/>
                    </a:stretch>
                  </pic:blipFill>
                  <pic:spPr>
                    <a:xfrm>
                      <a:off x="0" y="0"/>
                      <a:ext cx="4321175" cy="7113270"/>
                    </a:xfrm>
                    <a:prstGeom prst="rect">
                      <a:avLst/>
                    </a:prstGeom>
                  </pic:spPr>
                </pic:pic>
              </a:graphicData>
            </a:graphic>
          </wp:anchor>
        </w:drawing>
      </w:r>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B9C1A8"/>
    <w:multiLevelType w:val="singleLevel"/>
    <w:tmpl w:val="BCB9C1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BF0992"/>
    <w:rsid w:val="51EA5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2021-03-02T03:41:25Z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