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
      <w:bookmarkStart w:id="1" w:name="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唐山市丰南区丰安安全生产培训咨询有限公司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Q：37.05.04</w:t>
            </w:r>
          </w:p>
          <w:p>
            <w:pPr>
              <w:snapToGrid w:val="0"/>
              <w:spacing w:line="280" w:lineRule="exact"/>
              <w:ind w:left="52"/>
              <w:jc w:val="center"/>
              <w:rPr>
                <w:b/>
                <w:sz w:val="20"/>
              </w:rPr>
            </w:pPr>
            <w:r>
              <w:rPr>
                <w:b/>
                <w:sz w:val="20"/>
              </w:rPr>
              <w:t>E：37.05.04</w:t>
            </w:r>
          </w:p>
          <w:p>
            <w:pPr>
              <w:snapToGrid w:val="0"/>
              <w:spacing w:line="280" w:lineRule="exact"/>
              <w:ind w:left="52"/>
              <w:jc w:val="center"/>
              <w:rPr>
                <w:b/>
                <w:sz w:val="20"/>
              </w:rPr>
            </w:pPr>
            <w:r>
              <w:rPr>
                <w:b/>
                <w:sz w:val="20"/>
              </w:rPr>
              <w:t>O：37.05.04</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eastAsia" w:eastAsia="宋体"/>
                <w:b/>
                <w:sz w:val="20"/>
                <w:lang w:val="en-US" w:eastAsia="zh-CN"/>
              </w:rPr>
            </w:pPr>
            <w:r>
              <w:rPr>
                <w:rFonts w:hint="eastAsia"/>
                <w:b/>
                <w:sz w:val="20"/>
                <w:lang w:val="en-US" w:eastAsia="zh-CN"/>
              </w:rPr>
              <w:t>杨杰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Q：37.05.04</w:t>
            </w:r>
          </w:p>
          <w:p>
            <w:pPr>
              <w:snapToGrid w:val="0"/>
              <w:spacing w:line="280" w:lineRule="exact"/>
              <w:ind w:left="52"/>
              <w:jc w:val="center"/>
              <w:rPr>
                <w:b/>
                <w:sz w:val="20"/>
              </w:rPr>
            </w:pPr>
            <w:r>
              <w:rPr>
                <w:b/>
                <w:sz w:val="20"/>
              </w:rPr>
              <w:t>E：37.05.04</w:t>
            </w:r>
          </w:p>
          <w:p>
            <w:pPr>
              <w:snapToGrid w:val="0"/>
              <w:spacing w:line="280" w:lineRule="exact"/>
              <w:jc w:val="center"/>
              <w:rPr>
                <w:b/>
                <w:sz w:val="20"/>
              </w:rPr>
            </w:pPr>
            <w:r>
              <w:rPr>
                <w:b/>
                <w:sz w:val="20"/>
              </w:rPr>
              <w:t>O：37.05.04</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李京田</w:t>
            </w:r>
          </w:p>
        </w:tc>
        <w:tc>
          <w:tcPr>
            <w:tcW w:w="1505" w:type="dxa"/>
            <w:vAlign w:val="center"/>
          </w:tcPr>
          <w:p>
            <w:pPr>
              <w:snapToGrid w:val="0"/>
              <w:spacing w:line="360" w:lineRule="exact"/>
              <w:jc w:val="center"/>
              <w:rPr>
                <w:rFonts w:hint="eastAsia" w:eastAsia="宋体"/>
                <w:b/>
                <w:sz w:val="20"/>
                <w:lang w:val="en-US" w:eastAsia="zh-CN"/>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505" w:type="dxa"/>
            <w:vAlign w:val="center"/>
          </w:tcPr>
          <w:p>
            <w:pPr>
              <w:snapToGrid w:val="0"/>
              <w:spacing w:line="360" w:lineRule="exact"/>
              <w:jc w:val="center"/>
              <w:rPr>
                <w:rFonts w:hint="eastAsia" w:eastAsia="宋体"/>
                <w:b/>
                <w:sz w:val="20"/>
                <w:lang w:val="en-US" w:eastAsia="zh-CN"/>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80" w:lineRule="exact"/>
              <w:rPr>
                <w:b/>
                <w:sz w:val="20"/>
              </w:rPr>
            </w:pPr>
            <w:r>
              <w:rPr>
                <w:rFonts w:hint="eastAsia"/>
                <w:bCs/>
                <w:sz w:val="20"/>
                <w:szCs w:val="22"/>
              </w:rPr>
              <w:t>签到合同--准备培训课程资料--实施其他从业人员培训（签到-上课-考试-培训评价-培训证书）-客户验收-后续服务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6"/>
            <w:vAlign w:val="center"/>
          </w:tcPr>
          <w:p>
            <w:pPr>
              <w:snapToGrid w:val="0"/>
              <w:spacing w:beforeLines="20" w:afterLines="20" w:line="320" w:lineRule="exact"/>
              <w:jc w:val="left"/>
              <w:rPr>
                <w:rFonts w:hint="eastAsia"/>
                <w:bCs/>
                <w:sz w:val="20"/>
                <w:szCs w:val="22"/>
                <w:lang w:val="en-US" w:eastAsia="zh-CN"/>
              </w:rPr>
            </w:pPr>
            <w:r>
              <w:rPr>
                <w:rFonts w:hint="eastAsia"/>
                <w:bCs/>
                <w:sz w:val="20"/>
                <w:szCs w:val="22"/>
              </w:rPr>
              <w:t>关键过程：</w:t>
            </w:r>
            <w:r>
              <w:rPr>
                <w:rFonts w:hint="eastAsia"/>
                <w:bCs/>
                <w:sz w:val="20"/>
                <w:szCs w:val="22"/>
                <w:lang w:val="en-US" w:eastAsia="zh-CN"/>
              </w:rPr>
              <w:t>培训过程</w:t>
            </w:r>
          </w:p>
          <w:p>
            <w:pPr>
              <w:snapToGrid w:val="0"/>
              <w:spacing w:beforeLines="20" w:afterLines="20" w:line="320" w:lineRule="exact"/>
              <w:jc w:val="left"/>
              <w:rPr>
                <w:rFonts w:hint="default"/>
                <w:bCs/>
                <w:sz w:val="20"/>
                <w:szCs w:val="22"/>
                <w:lang w:val="en-US" w:eastAsia="zh-CN"/>
              </w:rPr>
            </w:pPr>
            <w:r>
              <w:rPr>
                <w:rFonts w:hint="eastAsia"/>
                <w:bCs/>
                <w:sz w:val="20"/>
                <w:szCs w:val="22"/>
                <w:lang w:val="en-US" w:eastAsia="zh-CN"/>
              </w:rPr>
              <w:t>特殊过程：培训过程</w:t>
            </w:r>
          </w:p>
          <w:p>
            <w:pPr>
              <w:snapToGrid w:val="0"/>
              <w:spacing w:beforeLines="20" w:afterLines="20" w:line="320" w:lineRule="exact"/>
              <w:jc w:val="left"/>
              <w:rPr>
                <w:rFonts w:hint="default"/>
                <w:bCs/>
                <w:sz w:val="20"/>
                <w:szCs w:val="22"/>
                <w:lang w:val="en-US" w:eastAsia="zh-CN"/>
              </w:rPr>
            </w:pPr>
            <w:r>
              <w:rPr>
                <w:rFonts w:hint="eastAsia"/>
                <w:bCs/>
                <w:sz w:val="20"/>
                <w:szCs w:val="22"/>
              </w:rPr>
              <w:t>控制措施：</w:t>
            </w:r>
            <w:r>
              <w:rPr>
                <w:rFonts w:hint="eastAsia"/>
                <w:bCs/>
                <w:sz w:val="20"/>
                <w:szCs w:val="22"/>
                <w:lang w:val="en-US" w:eastAsia="zh-CN"/>
              </w:rPr>
              <w:t>根据培训合同制定培训计划、确认培训内容、培训教师</w:t>
            </w:r>
            <w:r>
              <w:rPr>
                <w:rFonts w:hint="eastAsia"/>
                <w:bCs/>
                <w:sz w:val="20"/>
                <w:szCs w:val="22"/>
              </w:rPr>
              <w:t>能力、</w:t>
            </w:r>
            <w:r>
              <w:rPr>
                <w:rFonts w:hint="eastAsia"/>
                <w:bCs/>
                <w:sz w:val="20"/>
                <w:szCs w:val="22"/>
                <w:lang w:val="en-US" w:eastAsia="zh-CN"/>
              </w:rPr>
              <w:t>培训基础设施</w:t>
            </w:r>
            <w:r>
              <w:rPr>
                <w:rFonts w:hint="eastAsia"/>
                <w:bCs/>
                <w:sz w:val="20"/>
                <w:szCs w:val="22"/>
              </w:rPr>
              <w:t>状态，按</w:t>
            </w:r>
            <w:r>
              <w:rPr>
                <w:rFonts w:hint="eastAsia"/>
                <w:bCs/>
                <w:sz w:val="20"/>
                <w:szCs w:val="22"/>
                <w:lang w:val="en-US" w:eastAsia="zh-CN"/>
              </w:rPr>
              <w:t>培训计划</w:t>
            </w:r>
            <w:r>
              <w:rPr>
                <w:rFonts w:hint="eastAsia"/>
                <w:bCs/>
                <w:sz w:val="20"/>
                <w:szCs w:val="22"/>
              </w:rPr>
              <w:t>开展</w:t>
            </w:r>
            <w:r>
              <w:rPr>
                <w:rFonts w:hint="eastAsia"/>
                <w:bCs/>
                <w:sz w:val="20"/>
                <w:szCs w:val="22"/>
                <w:lang w:val="en-US" w:eastAsia="zh-CN"/>
              </w:rPr>
              <w:t>培训、培训</w:t>
            </w:r>
            <w:r>
              <w:rPr>
                <w:rFonts w:hint="default"/>
                <w:bCs/>
                <w:sz w:val="20"/>
                <w:szCs w:val="22"/>
                <w:lang w:eastAsia="zh-CN"/>
              </w:rPr>
              <w:t>课程效果</w:t>
            </w:r>
            <w:r>
              <w:rPr>
                <w:rFonts w:hint="eastAsia"/>
                <w:bCs/>
                <w:sz w:val="20"/>
                <w:szCs w:val="22"/>
                <w:lang w:val="en-US" w:eastAsia="zh-CN"/>
              </w:rPr>
              <w:t>分析与改进。</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napToGrid w:val="0"/>
              <w:spacing w:beforeLines="20" w:afterLines="20" w:line="320" w:lineRule="exact"/>
              <w:jc w:val="left"/>
              <w:rPr>
                <w:rFonts w:hint="eastAsia"/>
                <w:bCs/>
                <w:sz w:val="20"/>
                <w:szCs w:val="22"/>
              </w:rPr>
            </w:pPr>
            <w:r>
              <w:rPr>
                <w:rFonts w:hint="eastAsia"/>
                <w:bCs/>
                <w:sz w:val="20"/>
                <w:szCs w:val="22"/>
              </w:rPr>
              <w:t>编制了《环境因素的识别与评价控制程序》符合标准要求.</w:t>
            </w:r>
          </w:p>
          <w:p>
            <w:pPr>
              <w:snapToGrid w:val="0"/>
              <w:spacing w:beforeLines="20" w:afterLines="20" w:line="320" w:lineRule="exact"/>
              <w:jc w:val="left"/>
              <w:rPr>
                <w:rFonts w:hint="eastAsia"/>
                <w:bCs/>
                <w:sz w:val="20"/>
                <w:szCs w:val="22"/>
              </w:rPr>
            </w:pPr>
            <w:r>
              <w:rPr>
                <w:rFonts w:hint="eastAsia"/>
                <w:bCs/>
                <w:sz w:val="20"/>
                <w:szCs w:val="22"/>
              </w:rPr>
              <w:t>提供的“环境因素辨识与评价清单”“重要环境因素清单”， 评价考虑了三种时态现在、过去、将来、三种状态、异常、正常、紧急</w:t>
            </w:r>
            <w:r>
              <w:rPr>
                <w:rFonts w:hint="default"/>
                <w:bCs/>
                <w:sz w:val="20"/>
                <w:szCs w:val="22"/>
              </w:rPr>
              <w:t>，</w:t>
            </w:r>
            <w:r>
              <w:rPr>
                <w:rFonts w:hint="eastAsia"/>
                <w:bCs/>
                <w:sz w:val="20"/>
                <w:szCs w:val="22"/>
              </w:rPr>
              <w:t>考虑了法律法规，并进行了评价，针对</w:t>
            </w:r>
            <w:r>
              <w:rPr>
                <w:rFonts w:hint="eastAsia"/>
                <w:bCs/>
                <w:sz w:val="20"/>
                <w:szCs w:val="22"/>
                <w:lang w:val="en-US" w:eastAsia="zh-CN"/>
              </w:rPr>
              <w:t>培训</w:t>
            </w:r>
            <w:r>
              <w:rPr>
                <w:rFonts w:hint="eastAsia"/>
                <w:bCs/>
                <w:sz w:val="20"/>
                <w:szCs w:val="22"/>
              </w:rPr>
              <w:t>服务过程，用打分法考虑了法规符合性、发生频次、影响范围等, 通过定性判断法，共识别出重大环境因素</w:t>
            </w:r>
            <w:r>
              <w:rPr>
                <w:rFonts w:hint="eastAsia"/>
                <w:bCs/>
                <w:sz w:val="20"/>
                <w:szCs w:val="22"/>
                <w:lang w:val="en-US" w:eastAsia="zh-CN"/>
              </w:rPr>
              <w:t>3</w:t>
            </w:r>
            <w:r>
              <w:rPr>
                <w:rFonts w:hint="eastAsia"/>
                <w:bCs/>
                <w:sz w:val="20"/>
                <w:szCs w:val="22"/>
              </w:rPr>
              <w:t>项：固废排放、火灾，评价符合程序要求及公司的实际情况。</w:t>
            </w:r>
          </w:p>
          <w:p>
            <w:pPr>
              <w:snapToGrid w:val="0"/>
              <w:spacing w:beforeLines="20" w:afterLines="20" w:line="320" w:lineRule="exact"/>
              <w:jc w:val="left"/>
              <w:rPr>
                <w:rFonts w:hint="eastAsia"/>
                <w:bCs/>
                <w:sz w:val="20"/>
                <w:szCs w:val="22"/>
                <w:lang w:eastAsia="zh-CN"/>
              </w:rPr>
            </w:pPr>
            <w:r>
              <w:rPr>
                <w:rFonts w:hint="eastAsia"/>
                <w:bCs/>
                <w:sz w:val="20"/>
                <w:szCs w:val="22"/>
                <w:lang w:val="en-US" w:eastAsia="zh-CN"/>
              </w:rPr>
              <w:t>控制措施包括</w:t>
            </w:r>
            <w:r>
              <w:rPr>
                <w:rFonts w:hint="default"/>
                <w:bCs/>
                <w:sz w:val="20"/>
                <w:szCs w:val="22"/>
                <w:lang w:eastAsia="zh-CN"/>
              </w:rPr>
              <w:t>：</w:t>
            </w:r>
            <w:r>
              <w:rPr>
                <w:rFonts w:hint="eastAsia"/>
                <w:bCs/>
                <w:sz w:val="20"/>
                <w:szCs w:val="22"/>
                <w:lang w:val="en-US" w:eastAsia="zh-CN"/>
              </w:rPr>
              <w:t>制定</w:t>
            </w:r>
            <w:r>
              <w:rPr>
                <w:rFonts w:hint="eastAsia"/>
                <w:bCs/>
                <w:sz w:val="20"/>
                <w:szCs w:val="22"/>
              </w:rPr>
              <w:t>管理方案</w:t>
            </w:r>
            <w:r>
              <w:rPr>
                <w:rFonts w:hint="eastAsia"/>
                <w:bCs/>
                <w:sz w:val="20"/>
                <w:szCs w:val="22"/>
                <w:lang w:eastAsia="zh-CN"/>
              </w:rPr>
              <w:t>、</w:t>
            </w:r>
            <w:r>
              <w:rPr>
                <w:rFonts w:hint="eastAsia"/>
                <w:bCs/>
                <w:sz w:val="20"/>
                <w:szCs w:val="22"/>
              </w:rPr>
              <w:t>执行管理规定、程序文件规定</w:t>
            </w:r>
          </w:p>
          <w:p>
            <w:pPr>
              <w:snapToGrid w:val="0"/>
              <w:spacing w:beforeLines="20" w:afterLines="20" w:line="320" w:lineRule="exact"/>
              <w:jc w:val="lef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snapToGrid w:val="0"/>
              <w:spacing w:beforeLines="20" w:afterLines="20" w:line="320" w:lineRule="exact"/>
              <w:jc w:val="left"/>
              <w:rPr>
                <w:rFonts w:hint="eastAsia"/>
                <w:bCs/>
                <w:sz w:val="20"/>
                <w:szCs w:val="22"/>
              </w:rPr>
            </w:pPr>
            <w:r>
              <w:rPr>
                <w:rFonts w:hint="eastAsia"/>
                <w:bCs/>
                <w:sz w:val="20"/>
                <w:szCs w:val="22"/>
              </w:rPr>
              <w:t>编制《危险源辨识与风险评价管理程序》，对影响职业健康安全的危险源，评价其风险程度及级别，不可接受风险评价的标准和更新的时机,并确定更新不可接受风险因素从而进行有效控制等方面的管理要求进行了规定，满足要求。</w:t>
            </w:r>
          </w:p>
          <w:p>
            <w:pPr>
              <w:snapToGrid w:val="0"/>
              <w:spacing w:beforeLines="20" w:afterLines="20" w:line="320" w:lineRule="exact"/>
              <w:jc w:val="left"/>
              <w:rPr>
                <w:rFonts w:hint="eastAsia"/>
                <w:bCs/>
                <w:sz w:val="20"/>
                <w:szCs w:val="22"/>
              </w:rPr>
            </w:pPr>
            <w:r>
              <w:rPr>
                <w:rFonts w:hint="eastAsia"/>
                <w:bCs/>
                <w:sz w:val="20"/>
                <w:szCs w:val="22"/>
              </w:rPr>
              <w:t>提供的：“危险源识别与风险评价表”“不可接受风险源清单”， 评价考虑了将来、状态、可能导致的事件，进行了评价，用</w:t>
            </w:r>
            <w:r>
              <w:rPr>
                <w:rFonts w:hint="default"/>
                <w:bCs/>
                <w:sz w:val="20"/>
                <w:szCs w:val="22"/>
              </w:rPr>
              <w:t>LEC评</w:t>
            </w:r>
            <w:r>
              <w:rPr>
                <w:rFonts w:hint="eastAsia"/>
                <w:bCs/>
                <w:sz w:val="20"/>
                <w:szCs w:val="22"/>
              </w:rPr>
              <w:t>分法</w:t>
            </w:r>
            <w:r>
              <w:rPr>
                <w:rFonts w:hint="eastAsia"/>
                <w:bCs/>
                <w:sz w:val="20"/>
                <w:szCs w:val="22"/>
                <w:highlight w:val="none"/>
              </w:rPr>
              <w:t>共识别出不可接受风险</w:t>
            </w:r>
            <w:r>
              <w:rPr>
                <w:rFonts w:hint="eastAsia"/>
                <w:bCs/>
                <w:sz w:val="20"/>
                <w:szCs w:val="22"/>
                <w:highlight w:val="none"/>
                <w:lang w:val="en-US" w:eastAsia="zh-CN"/>
              </w:rPr>
              <w:t>4</w:t>
            </w:r>
            <w:r>
              <w:rPr>
                <w:rFonts w:hint="eastAsia"/>
                <w:bCs/>
                <w:sz w:val="20"/>
                <w:szCs w:val="22"/>
                <w:highlight w:val="none"/>
              </w:rPr>
              <w:t>项，涉及：火灾、触</w:t>
            </w:r>
            <w:r>
              <w:rPr>
                <w:rFonts w:hint="eastAsia"/>
                <w:bCs/>
                <w:sz w:val="20"/>
                <w:szCs w:val="22"/>
              </w:rPr>
              <w:t>电</w:t>
            </w:r>
            <w:r>
              <w:rPr>
                <w:rFonts w:hint="eastAsia"/>
                <w:bCs/>
                <w:sz w:val="20"/>
                <w:szCs w:val="22"/>
                <w:lang w:eastAsia="zh-CN"/>
              </w:rPr>
              <w:t>、</w:t>
            </w:r>
            <w:r>
              <w:rPr>
                <w:rFonts w:hint="eastAsia"/>
                <w:bCs/>
                <w:sz w:val="20"/>
                <w:szCs w:val="22"/>
                <w:lang w:val="en-US" w:eastAsia="zh-CN"/>
              </w:rPr>
              <w:t>意外伤害</w:t>
            </w:r>
            <w:r>
              <w:rPr>
                <w:rFonts w:hint="eastAsia"/>
                <w:bCs/>
                <w:sz w:val="20"/>
                <w:szCs w:val="22"/>
              </w:rPr>
              <w:t>。评价符合程序要求及公司的实际情况。</w:t>
            </w:r>
          </w:p>
          <w:p>
            <w:pPr>
              <w:snapToGrid w:val="0"/>
              <w:spacing w:beforeLines="20" w:afterLines="20" w:line="320" w:lineRule="exact"/>
              <w:jc w:val="left"/>
              <w:rPr>
                <w:rFonts w:hint="eastAsia"/>
                <w:bCs/>
                <w:sz w:val="20"/>
                <w:szCs w:val="22"/>
              </w:rPr>
            </w:pPr>
            <w:r>
              <w:rPr>
                <w:rFonts w:hint="eastAsia"/>
                <w:bCs/>
                <w:sz w:val="20"/>
                <w:szCs w:val="22"/>
              </w:rPr>
              <w:t>对不可接受风险的控制措施包括制定管理制度、运行控制、应急预案等。</w:t>
            </w:r>
          </w:p>
          <w:p>
            <w:pPr>
              <w:snapToGrid w:val="0"/>
              <w:spacing w:beforeLines="20" w:afterLines="20" w:line="320" w:lineRule="exact"/>
              <w:jc w:val="left"/>
              <w:rPr>
                <w:rFonts w:hint="eastAsia"/>
                <w:bCs/>
                <w:sz w:val="20"/>
                <w:szCs w:val="22"/>
              </w:rPr>
            </w:pP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pStyle w:val="3"/>
              <w:rPr>
                <w:rFonts w:hint="eastAsia" w:ascii="Times New Roman" w:hAnsi="Times New Roman" w:eastAsia="宋体" w:cs="Times New Roman"/>
                <w:bCs/>
                <w:snapToGrid/>
                <w:kern w:val="2"/>
                <w:sz w:val="20"/>
                <w:szCs w:val="22"/>
                <w:lang w:val="en-US" w:eastAsia="zh-CN" w:bidi="ar-SA"/>
              </w:rPr>
            </w:pPr>
            <w:r>
              <w:rPr>
                <w:rFonts w:hint="eastAsia" w:ascii="Times New Roman" w:hAnsi="Times New Roman" w:eastAsia="宋体" w:cs="Times New Roman"/>
                <w:bCs/>
                <w:snapToGrid/>
                <w:kern w:val="2"/>
                <w:sz w:val="20"/>
                <w:szCs w:val="22"/>
                <w:lang w:val="en-US" w:eastAsia="zh-CN" w:bidi="ar-SA"/>
              </w:rPr>
              <w:t xml:space="preserve"> AQ/T 8011-2016</w:t>
            </w:r>
            <w:r>
              <w:rPr>
                <w:rFonts w:hint="eastAsia" w:ascii="Times New Roman" w:hAnsi="Times New Roman" w:eastAsia="宋体" w:cs="Times New Roman"/>
                <w:bCs/>
                <w:snapToGrid/>
                <w:kern w:val="2"/>
                <w:sz w:val="20"/>
                <w:szCs w:val="22"/>
                <w:lang w:val="en-US" w:eastAsia="zh-CN" w:bidi="ar-SA"/>
              </w:rPr>
              <w:tab/>
            </w:r>
            <w:r>
              <w:rPr>
                <w:rFonts w:hint="eastAsia" w:ascii="Times New Roman" w:hAnsi="Times New Roman" w:eastAsia="宋体" w:cs="Times New Roman"/>
                <w:bCs/>
                <w:snapToGrid/>
                <w:kern w:val="2"/>
                <w:sz w:val="20"/>
                <w:szCs w:val="22"/>
                <w:lang w:val="en-US" w:eastAsia="zh-CN" w:bidi="ar-SA"/>
              </w:rPr>
              <w:t xml:space="preserve"> 安全培训机构基本条件</w:t>
            </w:r>
            <w:r>
              <w:rPr>
                <w:rFonts w:hint="eastAsia" w:ascii="Times New Roman" w:hAnsi="Times New Roman" w:eastAsia="宋体" w:cs="Times New Roman"/>
                <w:bCs/>
                <w:snapToGrid/>
                <w:kern w:val="2"/>
                <w:sz w:val="20"/>
                <w:szCs w:val="22"/>
                <w:lang w:val="en-US" w:eastAsia="zh-CN" w:bidi="ar-SA"/>
              </w:rPr>
              <w:tab/>
            </w:r>
            <w:r>
              <w:rPr>
                <w:rFonts w:hint="eastAsia" w:ascii="Times New Roman" w:hAnsi="Times New Roman" w:eastAsia="宋体" w:cs="Times New Roman"/>
                <w:bCs/>
                <w:snapToGrid/>
                <w:kern w:val="2"/>
                <w:sz w:val="20"/>
                <w:szCs w:val="22"/>
                <w:lang w:val="en-US" w:eastAsia="zh-CN" w:bidi="ar-SA"/>
              </w:rPr>
              <w:t>国家安全生产监督管理.</w:t>
            </w:r>
            <w:r>
              <w:rPr>
                <w:rFonts w:hint="eastAsia" w:ascii="Times New Roman" w:hAnsi="Times New Roman" w:eastAsia="宋体" w:cs="Times New Roman"/>
                <w:bCs/>
                <w:snapToGrid/>
                <w:kern w:val="2"/>
                <w:sz w:val="20"/>
                <w:szCs w:val="22"/>
                <w:lang w:val="en-US" w:eastAsia="zh-CN" w:bidi="ar-SA"/>
              </w:rPr>
              <w:tab/>
            </w:r>
            <w:r>
              <w:rPr>
                <w:rFonts w:hint="eastAsia" w:ascii="Times New Roman" w:hAnsi="Times New Roman" w:eastAsia="宋体" w:cs="Times New Roman"/>
                <w:bCs/>
                <w:snapToGrid/>
                <w:kern w:val="2"/>
                <w:sz w:val="20"/>
                <w:szCs w:val="22"/>
                <w:lang w:val="en-US" w:eastAsia="zh-CN" w:bidi="ar-SA"/>
              </w:rPr>
              <w:t>2017-03-01</w:t>
            </w:r>
            <w:r>
              <w:rPr>
                <w:rFonts w:hint="eastAsia" w:ascii="Times New Roman" w:hAnsi="Times New Roman" w:eastAsia="宋体" w:cs="Times New Roman"/>
                <w:bCs/>
                <w:snapToGrid/>
                <w:kern w:val="2"/>
                <w:sz w:val="20"/>
                <w:szCs w:val="22"/>
                <w:lang w:val="en-US" w:eastAsia="zh-CN" w:bidi="ar-SA"/>
              </w:rPr>
              <w:tab/>
            </w:r>
            <w:r>
              <w:rPr>
                <w:rFonts w:hint="eastAsia" w:ascii="Times New Roman" w:hAnsi="Times New Roman" w:eastAsia="宋体" w:cs="Times New Roman"/>
                <w:bCs/>
                <w:snapToGrid/>
                <w:kern w:val="2"/>
                <w:sz w:val="20"/>
                <w:szCs w:val="22"/>
                <w:lang w:val="en-US" w:eastAsia="zh-CN" w:bidi="ar-SA"/>
              </w:rPr>
              <w:t>现行</w:t>
            </w:r>
          </w:p>
          <w:p>
            <w:pPr>
              <w:pStyle w:val="3"/>
              <w:rPr>
                <w:rFonts w:hint="eastAsia" w:ascii="Times New Roman" w:hAnsi="Times New Roman" w:eastAsia="宋体" w:cs="Times New Roman"/>
                <w:bCs/>
                <w:snapToGrid/>
                <w:kern w:val="2"/>
                <w:sz w:val="20"/>
                <w:szCs w:val="22"/>
                <w:lang w:val="en-US" w:eastAsia="zh-CN" w:bidi="ar-SA"/>
              </w:rPr>
            </w:pPr>
            <w:r>
              <w:rPr>
                <w:rFonts w:hint="eastAsia" w:ascii="Times New Roman" w:hAnsi="Times New Roman" w:eastAsia="宋体" w:cs="Times New Roman"/>
                <w:bCs/>
                <w:snapToGrid/>
                <w:kern w:val="2"/>
                <w:sz w:val="20"/>
                <w:szCs w:val="22"/>
                <w:lang w:val="en-US" w:eastAsia="zh-CN" w:bidi="ar-SA"/>
              </w:rPr>
              <w:t xml:space="preserve"> XF/T 1300-2016</w:t>
            </w:r>
            <w:r>
              <w:rPr>
                <w:rFonts w:hint="eastAsia" w:ascii="Times New Roman" w:hAnsi="Times New Roman" w:eastAsia="宋体" w:cs="Times New Roman"/>
                <w:bCs/>
                <w:snapToGrid/>
                <w:kern w:val="2"/>
                <w:sz w:val="20"/>
                <w:szCs w:val="22"/>
                <w:lang w:val="en-US" w:eastAsia="zh-CN" w:bidi="ar-SA"/>
              </w:rPr>
              <w:tab/>
            </w:r>
            <w:r>
              <w:rPr>
                <w:rFonts w:hint="eastAsia" w:ascii="Times New Roman" w:hAnsi="Times New Roman" w:eastAsia="宋体" w:cs="Times New Roman"/>
                <w:bCs/>
                <w:snapToGrid/>
                <w:kern w:val="2"/>
                <w:sz w:val="20"/>
                <w:szCs w:val="22"/>
                <w:lang w:val="en-US" w:eastAsia="zh-CN" w:bidi="ar-SA"/>
              </w:rPr>
              <w:t xml:space="preserve"> 社会消防安全培训机构设置与评审</w:t>
            </w:r>
            <w:r>
              <w:rPr>
                <w:rFonts w:hint="eastAsia" w:ascii="Times New Roman" w:hAnsi="Times New Roman" w:eastAsia="宋体" w:cs="Times New Roman"/>
                <w:bCs/>
                <w:snapToGrid/>
                <w:kern w:val="2"/>
                <w:sz w:val="20"/>
                <w:szCs w:val="22"/>
                <w:lang w:val="en-US" w:eastAsia="zh-CN" w:bidi="ar-SA"/>
              </w:rPr>
              <w:tab/>
            </w:r>
            <w:r>
              <w:rPr>
                <w:rFonts w:hint="eastAsia" w:ascii="Times New Roman" w:hAnsi="Times New Roman" w:eastAsia="宋体" w:cs="Times New Roman"/>
                <w:bCs/>
                <w:snapToGrid/>
                <w:kern w:val="2"/>
                <w:sz w:val="20"/>
                <w:szCs w:val="22"/>
                <w:lang w:val="en-US" w:eastAsia="zh-CN" w:bidi="ar-SA"/>
              </w:rPr>
              <w:t>应急管理部</w:t>
            </w:r>
            <w:r>
              <w:rPr>
                <w:rFonts w:hint="eastAsia" w:ascii="Times New Roman" w:hAnsi="Times New Roman" w:eastAsia="宋体" w:cs="Times New Roman"/>
                <w:bCs/>
                <w:snapToGrid/>
                <w:kern w:val="2"/>
                <w:sz w:val="20"/>
                <w:szCs w:val="22"/>
                <w:lang w:val="en-US" w:eastAsia="zh-CN" w:bidi="ar-SA"/>
              </w:rPr>
              <w:tab/>
            </w:r>
            <w:r>
              <w:rPr>
                <w:rFonts w:hint="eastAsia" w:ascii="Times New Roman" w:hAnsi="Times New Roman" w:eastAsia="宋体" w:cs="Times New Roman"/>
                <w:bCs/>
                <w:snapToGrid/>
                <w:kern w:val="2"/>
                <w:sz w:val="20"/>
                <w:szCs w:val="22"/>
                <w:lang w:val="en-US" w:eastAsia="zh-CN" w:bidi="ar-SA"/>
              </w:rPr>
              <w:t>2016-08-01</w:t>
            </w:r>
            <w:r>
              <w:rPr>
                <w:rFonts w:hint="eastAsia" w:ascii="Times New Roman" w:hAnsi="Times New Roman" w:eastAsia="宋体" w:cs="Times New Roman"/>
                <w:bCs/>
                <w:snapToGrid/>
                <w:kern w:val="2"/>
                <w:sz w:val="20"/>
                <w:szCs w:val="22"/>
                <w:lang w:val="en-US" w:eastAsia="zh-CN" w:bidi="ar-SA"/>
              </w:rPr>
              <w:tab/>
            </w:r>
            <w:r>
              <w:rPr>
                <w:rFonts w:hint="eastAsia" w:ascii="Times New Roman" w:hAnsi="Times New Roman" w:eastAsia="宋体" w:cs="Times New Roman"/>
                <w:bCs/>
                <w:snapToGrid/>
                <w:kern w:val="2"/>
                <w:sz w:val="20"/>
                <w:szCs w:val="22"/>
                <w:lang w:val="en-US" w:eastAsia="zh-CN" w:bidi="ar-SA"/>
              </w:rPr>
              <w:t>现行</w:t>
            </w:r>
          </w:p>
          <w:p>
            <w:pPr>
              <w:pStyle w:val="3"/>
              <w:rPr>
                <w:rFonts w:hint="eastAsia" w:ascii="Times New Roman" w:hAnsi="Times New Roman" w:eastAsia="宋体" w:cs="Times New Roman"/>
                <w:bCs/>
                <w:snapToGrid/>
                <w:kern w:val="2"/>
                <w:sz w:val="20"/>
                <w:szCs w:val="22"/>
                <w:lang w:val="en-US" w:eastAsia="zh-CN" w:bidi="ar-SA"/>
              </w:rPr>
            </w:pPr>
            <w:r>
              <w:rPr>
                <w:rFonts w:hint="eastAsia" w:ascii="Times New Roman" w:hAnsi="Times New Roman" w:eastAsia="宋体" w:cs="Times New Roman"/>
                <w:bCs/>
                <w:snapToGrid/>
                <w:kern w:val="2"/>
                <w:sz w:val="20"/>
                <w:szCs w:val="22"/>
                <w:lang w:val="en-US" w:eastAsia="zh-CN" w:bidi="ar-SA"/>
              </w:rPr>
              <w:t>国家安全监管总局关于印发特种作业人员安全技术培训大纲和考核标准(试行)的通知    安监总培训[2011]112号</w:t>
            </w:r>
          </w:p>
          <w:p>
            <w:pPr>
              <w:pStyle w:val="3"/>
              <w:rPr>
                <w:rFonts w:hint="default" w:eastAsia="宋体"/>
                <w:b/>
                <w:sz w:val="20"/>
                <w:lang w:val="en-US" w:eastAsia="zh-CN"/>
              </w:rPr>
            </w:pPr>
            <w:r>
              <w:rPr>
                <w:rFonts w:hint="eastAsia" w:ascii="Times New Roman" w:hAnsi="Times New Roman" w:eastAsia="宋体" w:cs="Times New Roman"/>
                <w:bCs/>
                <w:snapToGrid/>
                <w:kern w:val="2"/>
                <w:sz w:val="20"/>
                <w:szCs w:val="22"/>
                <w:lang w:val="en-US" w:eastAsia="zh-CN" w:bidi="ar-SA"/>
              </w:rPr>
              <w:t>河北省安全生产监督管理局关于进一步加强全省特种作业安全技术时间操作技能考试通知  冀安监管人（2018）125号等。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bookmarkStart w:id="6" w:name="_GoBack" w:colFirst="2" w:colLast="7"/>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b/>
                <w:sz w:val="20"/>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b/>
                <w:sz w:val="20"/>
              </w:rPr>
            </w:pPr>
            <w:r>
              <w:rPr>
                <w:rFonts w:hint="eastAsia"/>
                <w:b/>
                <w:sz w:val="20"/>
                <w:lang w:val="en-US" w:eastAsia="zh-CN"/>
              </w:rPr>
              <w:t>安全生产管理知识</w:t>
            </w:r>
          </w:p>
        </w:tc>
      </w:tr>
      <w:bookmarkEnd w:id="6"/>
    </w:tbl>
    <w:p>
      <w:pPr>
        <w:snapToGrid w:val="0"/>
        <w:rPr>
          <w:rFonts w:ascii="宋体"/>
          <w:b/>
          <w:sz w:val="22"/>
          <w:szCs w:val="22"/>
        </w:rPr>
      </w:pPr>
    </w:p>
    <w:p>
      <w:pPr>
        <w:snapToGrid w:val="0"/>
        <w:rPr>
          <w:rFonts w:hint="default" w:ascii="宋体"/>
          <w:b/>
          <w:sz w:val="22"/>
          <w:szCs w:val="22"/>
          <w:lang w:val="en-US"/>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b/>
          <w:sz w:val="20"/>
          <w:lang w:val="en-US" w:eastAsia="zh-CN"/>
        </w:rPr>
        <w:t>杨杰</w:t>
      </w:r>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b/>
          <w:sz w:val="18"/>
          <w:szCs w:val="18"/>
          <w:lang w:val="en-US" w:eastAsia="zh-CN"/>
        </w:rPr>
        <w:t>2021.2.15</w:t>
      </w:r>
      <w:r>
        <w:rPr>
          <w:rFonts w:hint="eastAsia"/>
          <w:b/>
          <w:sz w:val="18"/>
          <w:szCs w:val="18"/>
        </w:rPr>
        <w:t xml:space="preserve">           </w:t>
      </w:r>
      <w:r>
        <w:rPr>
          <w:rFonts w:hint="eastAsia" w:ascii="宋体"/>
          <w:b/>
          <w:sz w:val="22"/>
          <w:szCs w:val="22"/>
        </w:rPr>
        <w:t>审核组长</w:t>
      </w:r>
      <w:r>
        <w:rPr>
          <w:rFonts w:hint="eastAsia" w:ascii="宋体"/>
          <w:b/>
          <w:sz w:val="18"/>
          <w:szCs w:val="18"/>
        </w:rPr>
        <w:t>：</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2021.2.15</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0"/>
      </w:pBdr>
      <w:spacing w:line="320" w:lineRule="exact"/>
      <w:ind w:firstLine="720" w:firstLineChars="400"/>
      <w:jc w:val="left"/>
    </w:pPr>
    <w:r>
      <w:pict>
        <v:shape id="文本框 1" o:spid="_x0000_s4098"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2"/>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BF1287"/>
    <w:rsid w:val="0852276E"/>
    <w:rsid w:val="29792371"/>
    <w:rsid w:val="38A55C4D"/>
    <w:rsid w:val="410F6056"/>
    <w:rsid w:val="45993D60"/>
    <w:rsid w:val="475045E5"/>
    <w:rsid w:val="5274161F"/>
    <w:rsid w:val="5E0F177D"/>
    <w:rsid w:val="60B23090"/>
    <w:rsid w:val="67441003"/>
    <w:rsid w:val="698F15F3"/>
    <w:rsid w:val="6A1E7300"/>
    <w:rsid w:val="6C085EBA"/>
    <w:rsid w:val="6E9172CD"/>
    <w:rsid w:val="723244C4"/>
    <w:rsid w:val="746C2D8B"/>
    <w:rsid w:val="7C8E5F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9"/>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Balloon Text"/>
    <w:basedOn w:val="1"/>
    <w:link w:val="10"/>
    <w:semiHidden/>
    <w:unhideWhenUsed/>
    <w:qFormat/>
    <w:uiPriority w:val="99"/>
    <w:rPr>
      <w:sz w:val="18"/>
      <w:szCs w:val="18"/>
    </w:rPr>
  </w:style>
  <w:style w:type="paragraph" w:styleId="5">
    <w:name w:val="footer"/>
    <w:basedOn w:val="1"/>
    <w:link w:val="8"/>
    <w:qFormat/>
    <w:uiPriority w:val="99"/>
    <w:pPr>
      <w:tabs>
        <w:tab w:val="center" w:pos="4153"/>
        <w:tab w:val="right" w:pos="8306"/>
      </w:tabs>
      <w:snapToGrid w:val="0"/>
      <w:jc w:val="left"/>
    </w:pPr>
    <w:rPr>
      <w:sz w:val="18"/>
      <w:szCs w:val="18"/>
    </w:rPr>
  </w:style>
  <w:style w:type="character" w:customStyle="1" w:styleId="8">
    <w:name w:val="页脚 字符"/>
    <w:link w:val="5"/>
    <w:qFormat/>
    <w:locked/>
    <w:uiPriority w:val="99"/>
    <w:rPr>
      <w:rFonts w:ascii="Times New Roman" w:hAnsi="Times New Roman" w:eastAsia="宋体" w:cs="Times New Roman"/>
      <w:sz w:val="18"/>
      <w:szCs w:val="18"/>
    </w:rPr>
  </w:style>
  <w:style w:type="character" w:customStyle="1" w:styleId="9">
    <w:name w:val="页眉 字符"/>
    <w:link w:val="2"/>
    <w:qFormat/>
    <w:locked/>
    <w:uiPriority w:val="99"/>
    <w:rPr>
      <w:rFonts w:ascii="Times New Roman" w:hAnsi="Times New Roman" w:eastAsia="宋体" w:cs="Times New Roman"/>
      <w:sz w:val="18"/>
      <w:szCs w:val="18"/>
    </w:rPr>
  </w:style>
  <w:style w:type="character" w:customStyle="1" w:styleId="10">
    <w:name w:val="批注框文本 字符"/>
    <w:link w:val="4"/>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0</TotalTime>
  <ScaleCrop>false</ScaleCrop>
  <LinksUpToDate>false</LinksUpToDate>
  <CharactersWithSpaces>314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2021-02-17T10:53:44Z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