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w:t>
      </w:r>
      <w:r>
        <w:rPr>
          <w:rFonts w:hint="eastAsia" w:asciiTheme="majorEastAsia" w:hAnsiTheme="majorEastAsia" w:eastAsiaTheme="majorEastAsia" w:cstheme="majorEastAsia"/>
          <w:bCs/>
          <w:sz w:val="32"/>
          <w:szCs w:val="32"/>
          <w:lang w:val="en-US" w:eastAsia="zh-CN"/>
        </w:rPr>
        <w:t>远程</w:t>
      </w:r>
      <w:r>
        <w:rPr>
          <w:rFonts w:hint="eastAsia" w:asciiTheme="majorEastAsia" w:hAnsiTheme="majorEastAsia" w:eastAsiaTheme="majorEastAsia" w:cstheme="majorEastAsia"/>
          <w:bCs/>
          <w:sz w:val="32"/>
          <w:szCs w:val="32"/>
        </w:rPr>
        <w:t>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唐山市丰南区丰安安全生产培训咨询有限公司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r>
              <w:rPr>
                <w:sz w:val="21"/>
                <w:szCs w:val="21"/>
              </w:rPr>
              <w:t>0106-2021-QEO</w:t>
            </w:r>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r>
              <w:rPr>
                <w:rFonts w:hint="eastAsia"/>
                <w:sz w:val="21"/>
                <w:szCs w:val="21"/>
              </w:rPr>
              <w:t>■</w:t>
            </w:r>
            <w:r>
              <w:rPr>
                <w:spacing w:val="-2"/>
                <w:sz w:val="21"/>
                <w:szCs w:val="21"/>
              </w:rPr>
              <w:t>QMS</w:t>
            </w:r>
            <w:r>
              <w:rPr>
                <w:rFonts w:hint="eastAsia"/>
                <w:sz w:val="21"/>
                <w:szCs w:val="21"/>
              </w:rPr>
              <w:t>■</w:t>
            </w:r>
            <w:r>
              <w:rPr>
                <w:spacing w:val="-2"/>
                <w:sz w:val="21"/>
                <w:szCs w:val="21"/>
              </w:rPr>
              <w:t>EMS</w:t>
            </w:r>
            <w:r>
              <w:rPr>
                <w:rFonts w:hint="eastAsia"/>
                <w:sz w:val="21"/>
                <w:szCs w:val="21"/>
              </w:rPr>
              <w:t>■</w:t>
            </w:r>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r>
              <w:rPr>
                <w:sz w:val="21"/>
                <w:szCs w:val="21"/>
              </w:rPr>
              <w:t>韩昌印</w:t>
            </w:r>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r>
              <w:rPr>
                <w:sz w:val="21"/>
                <w:szCs w:val="21"/>
              </w:rPr>
              <w:t>13933323778</w:t>
            </w:r>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1" w:name="联系人邮箱"/>
            <w:r>
              <w:rPr>
                <w:sz w:val="21"/>
                <w:szCs w:val="21"/>
              </w:rPr>
              <w:t>fapx3066@163.com</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2" w:name="最高管理者"/>
            <w:bookmarkEnd w:id="2"/>
            <w:r>
              <w:rPr>
                <w:sz w:val="21"/>
                <w:szCs w:val="21"/>
              </w:rPr>
              <w:t>韩昌印</w:t>
            </w:r>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3" w:name="联系人传真"/>
            <w:bookmarkEnd w:id="3"/>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r>
              <w:t>Q：生产经营单位其他从业人员培训服务</w:t>
            </w:r>
          </w:p>
          <w:p>
            <w:r>
              <w:t>E：生产经营单位其他从业人员培训服务所涉及场所的相关环境管理活动</w:t>
            </w:r>
          </w:p>
          <w:p>
            <w:r>
              <w:t>O：生产经营单位其他从业人员培训服务所涉及场所的相关职业健康安全管理活动</w:t>
            </w:r>
          </w:p>
        </w:tc>
        <w:tc>
          <w:tcPr>
            <w:tcW w:w="850" w:type="dxa"/>
            <w:gridSpan w:val="2"/>
            <w:vAlign w:val="center"/>
          </w:tcPr>
          <w:p>
            <w:r>
              <w:rPr>
                <w:rFonts w:hint="eastAsia"/>
              </w:rPr>
              <w:t>专业</w:t>
            </w:r>
          </w:p>
          <w:p>
            <w:r>
              <w:rPr>
                <w:rFonts w:hint="eastAsia"/>
              </w:rPr>
              <w:t>代码</w:t>
            </w:r>
          </w:p>
        </w:tc>
        <w:tc>
          <w:tcPr>
            <w:tcW w:w="1654" w:type="dxa"/>
            <w:gridSpan w:val="2"/>
            <w:vAlign w:val="center"/>
          </w:tcPr>
          <w:p>
            <w:r>
              <w:t>Q：37.05.04</w:t>
            </w:r>
          </w:p>
          <w:p>
            <w:r>
              <w:t>E：37.05.04</w:t>
            </w:r>
          </w:p>
          <w:p>
            <w:r>
              <w:t>O：37.05.04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4" w:name="审核依据"/>
            <w:r>
              <w:rPr>
                <w:rFonts w:hint="eastAsia" w:ascii="宋体" w:hAnsi="宋体"/>
                <w:b/>
                <w:sz w:val="21"/>
                <w:szCs w:val="21"/>
              </w:rPr>
              <w:t>Q：GB/T19001-2016/ISO9001:2015,E：GB/T 24001-2016/ISO14001:2015,O：GB/T45001-2020 / ISO45001：2018</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lang w:val="en-US" w:eastAsia="zh-CN"/>
              </w:rPr>
              <w:t>远程</w:t>
            </w:r>
            <w:r>
              <w:rPr>
                <w:rFonts w:hint="eastAsia"/>
                <w:b/>
                <w:sz w:val="21"/>
                <w:szCs w:val="21"/>
              </w:rPr>
              <w:t>审核于</w:t>
            </w:r>
            <w:bookmarkStart w:id="5" w:name="审核日期安排"/>
            <w:r>
              <w:rPr>
                <w:rFonts w:hint="eastAsia"/>
                <w:b/>
                <w:sz w:val="21"/>
                <w:szCs w:val="21"/>
              </w:rPr>
              <w:t>2021年02月15日 上午至2021年02月15日 上午 (共0.5天)</w:t>
            </w:r>
            <w:bookmarkEnd w:id="5"/>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李京田</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r>
              <w:rPr>
                <w:sz w:val="21"/>
                <w:szCs w:val="21"/>
              </w:rPr>
              <w:t>13601093935</w:t>
            </w:r>
          </w:p>
        </w:tc>
        <w:tc>
          <w:tcPr>
            <w:tcW w:w="1229" w:type="dxa"/>
            <w:vAlign w:val="center"/>
          </w:tcPr>
          <w:p>
            <w:pPr>
              <w:jc w:val="center"/>
              <w:rPr>
                <w:rFonts w:hint="eastAsia" w:eastAsia="宋体"/>
                <w:sz w:val="21"/>
                <w:szCs w:val="21"/>
                <w:lang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杨杰</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r>
              <w:rPr>
                <w:sz w:val="21"/>
                <w:szCs w:val="21"/>
              </w:rPr>
              <w:t>Q:37.05.04</w:t>
            </w:r>
          </w:p>
          <w:p>
            <w:pPr>
              <w:jc w:val="center"/>
              <w:rPr>
                <w:sz w:val="21"/>
                <w:szCs w:val="21"/>
              </w:rPr>
            </w:pPr>
            <w:r>
              <w:rPr>
                <w:sz w:val="21"/>
                <w:szCs w:val="21"/>
              </w:rPr>
              <w:t>E:37.05.04</w:t>
            </w:r>
          </w:p>
          <w:p>
            <w:pPr>
              <w:jc w:val="center"/>
              <w:rPr>
                <w:sz w:val="21"/>
                <w:szCs w:val="21"/>
              </w:rPr>
            </w:pPr>
            <w:r>
              <w:rPr>
                <w:sz w:val="21"/>
                <w:szCs w:val="21"/>
              </w:rPr>
              <w:t>O:37.05.04</w:t>
            </w:r>
          </w:p>
        </w:tc>
        <w:tc>
          <w:tcPr>
            <w:tcW w:w="1559" w:type="dxa"/>
            <w:gridSpan w:val="4"/>
            <w:vAlign w:val="center"/>
          </w:tcPr>
          <w:p>
            <w:pPr>
              <w:jc w:val="center"/>
              <w:rPr>
                <w:sz w:val="21"/>
                <w:szCs w:val="21"/>
              </w:rPr>
            </w:pPr>
            <w:r>
              <w:rPr>
                <w:sz w:val="21"/>
                <w:szCs w:val="21"/>
              </w:rPr>
              <w:t>13633243872</w:t>
            </w:r>
          </w:p>
        </w:tc>
        <w:tc>
          <w:tcPr>
            <w:tcW w:w="1229" w:type="dxa"/>
            <w:vAlign w:val="center"/>
          </w:tcPr>
          <w:p>
            <w:pPr>
              <w:jc w:val="center"/>
              <w:rPr>
                <w:rFonts w:hint="eastAsia" w:eastAsia="宋体"/>
                <w:sz w:val="21"/>
                <w:szCs w:val="21"/>
                <w:lang w:eastAsia="zh-CN"/>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p>
        </w:tc>
        <w:tc>
          <w:tcPr>
            <w:tcW w:w="780" w:type="dxa"/>
            <w:gridSpan w:val="2"/>
            <w:vAlign w:val="center"/>
          </w:tcPr>
          <w:p>
            <w:pPr>
              <w:jc w:val="center"/>
              <w:rPr>
                <w:sz w:val="21"/>
                <w:szCs w:val="21"/>
              </w:rPr>
            </w:pPr>
          </w:p>
        </w:tc>
        <w:tc>
          <w:tcPr>
            <w:tcW w:w="720" w:type="dxa"/>
            <w:vAlign w:val="center"/>
          </w:tcPr>
          <w:p>
            <w:pPr>
              <w:jc w:val="center"/>
              <w:rPr>
                <w:sz w:val="21"/>
                <w:szCs w:val="21"/>
              </w:rPr>
            </w:pPr>
          </w:p>
        </w:tc>
        <w:tc>
          <w:tcPr>
            <w:tcW w:w="1141" w:type="dxa"/>
            <w:gridSpan w:val="2"/>
            <w:vAlign w:val="center"/>
          </w:tcPr>
          <w:p>
            <w:pPr>
              <w:jc w:val="center"/>
              <w:rPr>
                <w:sz w:val="21"/>
                <w:szCs w:val="21"/>
              </w:rPr>
            </w:pP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p>
        </w:tc>
        <w:tc>
          <w:tcPr>
            <w:tcW w:w="1229" w:type="dxa"/>
            <w:vAlign w:val="center"/>
          </w:tcPr>
          <w:p>
            <w:pPr>
              <w:jc w:val="center"/>
              <w:rPr>
                <w:rFonts w:hint="eastAsia"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95" w:type="dxa"/>
            <w:gridSpan w:val="2"/>
            <w:vAlign w:val="center"/>
          </w:tcPr>
          <w:p>
            <w:pPr>
              <w:jc w:val="center"/>
              <w:rPr>
                <w:sz w:val="21"/>
                <w:szCs w:val="21"/>
              </w:rPr>
            </w:pPr>
          </w:p>
        </w:tc>
        <w:tc>
          <w:tcPr>
            <w:tcW w:w="780" w:type="dxa"/>
            <w:gridSpan w:val="2"/>
            <w:vAlign w:val="center"/>
          </w:tcPr>
          <w:p>
            <w:pPr>
              <w:jc w:val="center"/>
              <w:rPr>
                <w:sz w:val="21"/>
                <w:szCs w:val="21"/>
              </w:rPr>
            </w:pPr>
          </w:p>
        </w:tc>
        <w:tc>
          <w:tcPr>
            <w:tcW w:w="720" w:type="dxa"/>
            <w:vAlign w:val="center"/>
          </w:tcPr>
          <w:p>
            <w:pPr>
              <w:jc w:val="center"/>
              <w:rPr>
                <w:sz w:val="21"/>
                <w:szCs w:val="21"/>
              </w:rPr>
            </w:pPr>
          </w:p>
        </w:tc>
        <w:tc>
          <w:tcPr>
            <w:tcW w:w="1141" w:type="dxa"/>
            <w:gridSpan w:val="2"/>
            <w:vAlign w:val="center"/>
          </w:tcPr>
          <w:p>
            <w:pPr>
              <w:jc w:val="center"/>
              <w:rPr>
                <w:sz w:val="21"/>
                <w:szCs w:val="21"/>
              </w:rPr>
            </w:pP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p>
        </w:tc>
        <w:tc>
          <w:tcPr>
            <w:tcW w:w="1229" w:type="dxa"/>
            <w:vAlign w:val="center"/>
          </w:tcPr>
          <w:p>
            <w:pPr>
              <w:jc w:val="center"/>
              <w:rPr>
                <w:rFonts w:hint="eastAsia"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李京田</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2021.2.14</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rFonts w:hint="default" w:eastAsia="宋体"/>
                <w:lang w:val="en-US" w:eastAsia="zh-CN"/>
              </w:rPr>
            </w:pPr>
            <w:r>
              <w:rPr>
                <w:rFonts w:hint="eastAsia"/>
                <w:lang w:val="en-US" w:eastAsia="zh-CN"/>
              </w:rPr>
              <w:t>2021.2.14</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val="en-US" w:eastAsia="zh-CN"/>
        </w:rPr>
        <w:t>远程</w:t>
      </w:r>
      <w:r>
        <w:rPr>
          <w:rFonts w:hint="eastAsia" w:asciiTheme="minorEastAsia" w:hAnsiTheme="minorEastAsia" w:eastAsiaTheme="minorEastAsia"/>
          <w:sz w:val="32"/>
          <w:szCs w:val="32"/>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left"/>
              <w:rPr>
                <w:rFonts w:hint="eastAsia"/>
                <w:b/>
                <w:sz w:val="21"/>
                <w:szCs w:val="21"/>
                <w:lang w:val="en-US" w:eastAsia="zh-CN"/>
              </w:rPr>
            </w:pPr>
            <w:r>
              <w:rPr>
                <w:rFonts w:hint="eastAsia"/>
                <w:b/>
                <w:sz w:val="21"/>
                <w:szCs w:val="21"/>
                <w:lang w:val="en-US" w:eastAsia="zh-CN"/>
              </w:rPr>
              <w:t>2021.2.</w:t>
            </w:r>
          </w:p>
          <w:p>
            <w:pPr>
              <w:snapToGrid w:val="0"/>
              <w:spacing w:line="280" w:lineRule="exact"/>
              <w:jc w:val="left"/>
              <w:rPr>
                <w:rFonts w:hint="default" w:eastAsia="宋体"/>
                <w:b/>
                <w:sz w:val="21"/>
                <w:szCs w:val="21"/>
                <w:lang w:val="en-US" w:eastAsia="zh-CN"/>
              </w:rPr>
            </w:pPr>
            <w:bookmarkStart w:id="6" w:name="_GoBack"/>
            <w:bookmarkEnd w:id="6"/>
            <w:r>
              <w:rPr>
                <w:rFonts w:hint="eastAsia"/>
                <w:b/>
                <w:sz w:val="21"/>
                <w:szCs w:val="21"/>
                <w:lang w:val="en-US" w:eastAsia="zh-CN"/>
              </w:rPr>
              <w:t>15</w:t>
            </w:r>
          </w:p>
        </w:tc>
        <w:tc>
          <w:tcPr>
            <w:tcW w:w="1505"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8:00-8:30</w:t>
            </w:r>
          </w:p>
        </w:tc>
        <w:tc>
          <w:tcPr>
            <w:tcW w:w="6665" w:type="dxa"/>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首次会议</w:t>
            </w:r>
          </w:p>
        </w:tc>
        <w:tc>
          <w:tcPr>
            <w:tcW w:w="1196" w:type="dxa"/>
            <w:tcBorders>
              <w:right w:val="single" w:color="auto" w:sz="8" w:space="0"/>
            </w:tcBorders>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505" w:type="dxa"/>
            <w:vMerge w:val="restart"/>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8:30-11:00</w:t>
            </w:r>
          </w:p>
        </w:tc>
        <w:tc>
          <w:tcPr>
            <w:tcW w:w="6665" w:type="dxa"/>
            <w:vAlign w:val="center"/>
          </w:tcPr>
          <w:p>
            <w:pPr>
              <w:spacing w:line="360" w:lineRule="auto"/>
              <w:rPr>
                <w:sz w:val="21"/>
                <w:szCs w:val="21"/>
              </w:rPr>
            </w:pPr>
            <w:r>
              <w:rPr>
                <w:rFonts w:hint="eastAsia"/>
                <w:sz w:val="21"/>
                <w:szCs w:val="21"/>
              </w:rPr>
              <w:t>管理层（含员工代表）</w:t>
            </w:r>
            <w:r>
              <w:rPr>
                <w:rFonts w:hint="eastAsia"/>
              </w:rPr>
              <w:t>：</w:t>
            </w:r>
            <w:r>
              <w:rPr>
                <w:rFonts w:hint="eastAsia"/>
                <w:sz w:val="21"/>
                <w:szCs w:val="21"/>
              </w:rPr>
              <w:t>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pPr>
              <w:adjustRightInd w:val="0"/>
              <w:snapToGrid w:val="0"/>
              <w:spacing w:line="360" w:lineRule="auto"/>
              <w:rPr>
                <w:sz w:val="21"/>
                <w:szCs w:val="21"/>
              </w:rPr>
            </w:pPr>
            <w:r>
              <w:rPr>
                <w:rFonts w:hint="eastAsia"/>
                <w:sz w:val="21"/>
                <w:szCs w:val="21"/>
              </w:rPr>
              <w:t>ES 4.1/4.3/4.4/5.2/6.2/7.1/9.3</w:t>
            </w:r>
          </w:p>
          <w:p>
            <w:pPr>
              <w:adjustRightInd w:val="0"/>
              <w:snapToGrid w:val="0"/>
              <w:spacing w:line="360" w:lineRule="auto"/>
              <w:rPr>
                <w:rFonts w:ascii="Times New Roman" w:hAnsi="Times New Roman" w:eastAsia="宋体" w:cs="Times New Roman"/>
                <w:b/>
                <w:kern w:val="2"/>
                <w:sz w:val="20"/>
                <w:lang w:val="en-US" w:eastAsia="zh-CN" w:bidi="ar-SA"/>
              </w:rPr>
            </w:pPr>
            <w:r>
              <w:rPr>
                <w:rFonts w:hint="eastAsia"/>
                <w:sz w:val="21"/>
                <w:szCs w:val="21"/>
              </w:rPr>
              <w:t>Q4.1/4.3/4.4/5.2/ 6.1/6.2/7.1/9.3</w:t>
            </w:r>
          </w:p>
        </w:tc>
        <w:tc>
          <w:tcPr>
            <w:tcW w:w="1196" w:type="dxa"/>
            <w:tcBorders>
              <w:right w:val="single" w:color="auto" w:sz="8" w:space="0"/>
            </w:tcBorders>
            <w:vAlign w:val="center"/>
          </w:tcPr>
          <w:p>
            <w:pPr>
              <w:snapToGrid w:val="0"/>
              <w:spacing w:line="280" w:lineRule="exact"/>
              <w:ind w:firstLine="210" w:firstLineChars="100"/>
              <w:jc w:val="left"/>
              <w:rPr>
                <w:rFonts w:hint="default"/>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505" w:type="dxa"/>
            <w:vMerge w:val="continue"/>
            <w:vAlign w:val="center"/>
          </w:tcPr>
          <w:p>
            <w:pPr>
              <w:snapToGrid w:val="0"/>
              <w:spacing w:line="280" w:lineRule="exact"/>
              <w:jc w:val="left"/>
              <w:rPr>
                <w:b/>
                <w:sz w:val="21"/>
                <w:szCs w:val="21"/>
              </w:rPr>
            </w:pPr>
          </w:p>
        </w:tc>
        <w:tc>
          <w:tcPr>
            <w:tcW w:w="6665" w:type="dxa"/>
            <w:vAlign w:val="center"/>
          </w:tcPr>
          <w:p>
            <w:pPr>
              <w:spacing w:line="360" w:lineRule="auto"/>
              <w:rPr>
                <w:rFonts w:hint="eastAsia"/>
                <w:sz w:val="21"/>
                <w:szCs w:val="21"/>
              </w:rPr>
            </w:pPr>
            <w:r>
              <w:rPr>
                <w:rFonts w:hint="eastAsia"/>
                <w:sz w:val="21"/>
                <w:szCs w:val="21"/>
              </w:rPr>
              <w:t>综合部</w:t>
            </w:r>
            <w:r>
              <w:rPr>
                <w:rFonts w:hint="eastAsia"/>
                <w:sz w:val="21"/>
                <w:szCs w:val="21"/>
                <w:lang w:val="en-US" w:eastAsia="zh-CN"/>
              </w:rPr>
              <w:t>(含财务）</w:t>
            </w:r>
            <w:r>
              <w:rPr>
                <w:rFonts w:hint="eastAsia"/>
                <w:sz w:val="21"/>
                <w:szCs w:val="21"/>
              </w:rPr>
              <w:t>：了解河沙销售标准或过程控制情况，以及其他规范性文件充分了解客户的管理体系和远程运作，以便为策划第二阶段提供关注点</w:t>
            </w:r>
          </w:p>
          <w:p>
            <w:pPr>
              <w:spacing w:line="360" w:lineRule="auto"/>
              <w:rPr>
                <w:rFonts w:hint="default" w:eastAsia="宋体"/>
                <w:sz w:val="21"/>
                <w:szCs w:val="21"/>
                <w:lang w:val="en-US" w:eastAsia="zh-CN"/>
              </w:rPr>
            </w:pPr>
            <w:r>
              <w:rPr>
                <w:rFonts w:hint="eastAsia"/>
                <w:sz w:val="21"/>
                <w:szCs w:val="21"/>
              </w:rPr>
              <w:t>A审核：ES： 6.1/6.2/7.5/8.1/8.2/</w:t>
            </w:r>
            <w:r>
              <w:rPr>
                <w:rFonts w:hint="eastAsia"/>
                <w:sz w:val="21"/>
                <w:szCs w:val="21"/>
                <w:lang w:val="en-US" w:eastAsia="zh-CN"/>
              </w:rPr>
              <w:t>9.2</w:t>
            </w:r>
          </w:p>
          <w:p>
            <w:pPr>
              <w:spacing w:line="360" w:lineRule="auto"/>
              <w:rPr>
                <w:rFonts w:hint="default" w:ascii="Times New Roman" w:hAnsi="Times New Roman" w:eastAsia="宋体" w:cs="Times New Roman"/>
                <w:b/>
                <w:kern w:val="2"/>
                <w:sz w:val="20"/>
                <w:lang w:val="en-US" w:eastAsia="zh-CN" w:bidi="ar-SA"/>
              </w:rPr>
            </w:pPr>
            <w:r>
              <w:rPr>
                <w:rFonts w:hint="eastAsia"/>
                <w:sz w:val="21"/>
                <w:szCs w:val="21"/>
              </w:rPr>
              <w:t>B审核：Q： 6.2/7.5/</w:t>
            </w:r>
            <w:r>
              <w:rPr>
                <w:rFonts w:hint="eastAsia"/>
                <w:sz w:val="21"/>
                <w:szCs w:val="21"/>
                <w:lang w:val="en-US" w:eastAsia="zh-CN"/>
              </w:rPr>
              <w:t>8.2/8.4/</w:t>
            </w:r>
            <w:r>
              <w:rPr>
                <w:rFonts w:hint="eastAsia"/>
                <w:sz w:val="21"/>
                <w:szCs w:val="21"/>
              </w:rPr>
              <w:t>9.2</w:t>
            </w:r>
            <w:r>
              <w:rPr>
                <w:rFonts w:hint="eastAsia"/>
                <w:sz w:val="21"/>
                <w:szCs w:val="21"/>
                <w:lang w:val="en-US" w:eastAsia="zh-CN"/>
              </w:rPr>
              <w:t>/9.1.2</w:t>
            </w:r>
          </w:p>
        </w:tc>
        <w:tc>
          <w:tcPr>
            <w:tcW w:w="1196" w:type="dxa"/>
            <w:tcBorders>
              <w:right w:val="single" w:color="auto" w:sz="8" w:space="0"/>
            </w:tcBorders>
            <w:vAlign w:val="center"/>
          </w:tcPr>
          <w:p>
            <w:pPr>
              <w:snapToGrid w:val="0"/>
              <w:spacing w:line="280" w:lineRule="exact"/>
              <w:ind w:firstLine="210" w:firstLineChars="100"/>
              <w:jc w:val="left"/>
              <w:rPr>
                <w:rFonts w:hint="default"/>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505" w:type="dxa"/>
            <w:vAlign w:val="center"/>
          </w:tcPr>
          <w:p>
            <w:pPr>
              <w:snapToGrid w:val="0"/>
              <w:spacing w:line="280" w:lineRule="exact"/>
              <w:jc w:val="left"/>
              <w:rPr>
                <w:b/>
                <w:sz w:val="21"/>
                <w:szCs w:val="21"/>
              </w:rPr>
            </w:pPr>
            <w:r>
              <w:rPr>
                <w:rFonts w:hint="eastAsia"/>
                <w:b/>
                <w:sz w:val="21"/>
                <w:szCs w:val="21"/>
                <w:lang w:val="en-US" w:eastAsia="zh-CN"/>
              </w:rPr>
              <w:t>8:30-11:00</w:t>
            </w:r>
          </w:p>
        </w:tc>
        <w:tc>
          <w:tcPr>
            <w:tcW w:w="6665" w:type="dxa"/>
            <w:vAlign w:val="center"/>
          </w:tcPr>
          <w:p>
            <w:pPr>
              <w:spacing w:line="360" w:lineRule="auto"/>
              <w:rPr>
                <w:rFonts w:hint="eastAsia"/>
                <w:sz w:val="21"/>
                <w:szCs w:val="21"/>
              </w:rPr>
            </w:pPr>
            <w:r>
              <w:rPr>
                <w:rFonts w:hint="eastAsia"/>
              </w:rPr>
              <w:t>教务管理部</w:t>
            </w:r>
            <w:r>
              <w:rPr>
                <w:rFonts w:hint="eastAsia"/>
                <w:sz w:val="21"/>
                <w:szCs w:val="21"/>
                <w:lang w:val="en-US" w:eastAsia="zh-CN"/>
              </w:rPr>
              <w:t>：</w:t>
            </w:r>
            <w:r>
              <w:rPr>
                <w:rFonts w:hint="eastAsia"/>
                <w:sz w:val="21"/>
                <w:szCs w:val="21"/>
              </w:rPr>
              <w:t>目标的策划和实施情况 及环境及职业健康运行情况</w:t>
            </w:r>
          </w:p>
          <w:p>
            <w:pPr>
              <w:spacing w:line="360" w:lineRule="auto"/>
              <w:rPr>
                <w:rFonts w:hint="eastAsia"/>
                <w:sz w:val="21"/>
                <w:szCs w:val="21"/>
              </w:rPr>
            </w:pPr>
            <w:r>
              <w:rPr>
                <w:rFonts w:hint="eastAsia"/>
                <w:sz w:val="21"/>
                <w:szCs w:val="21"/>
              </w:rPr>
              <w:t>采购过程质量控制情况、</w:t>
            </w:r>
            <w:r>
              <w:rPr>
                <w:rFonts w:hint="eastAsia"/>
                <w:sz w:val="21"/>
                <w:szCs w:val="21"/>
                <w:lang w:val="en-US" w:eastAsia="zh-CN"/>
              </w:rPr>
              <w:t>培训</w:t>
            </w:r>
            <w:r>
              <w:rPr>
                <w:rFonts w:hint="eastAsia"/>
                <w:sz w:val="21"/>
                <w:szCs w:val="21"/>
              </w:rPr>
              <w:t>控制情况、不符合控制情况等过程识别情况</w:t>
            </w:r>
          </w:p>
          <w:p>
            <w:pPr>
              <w:spacing w:line="360" w:lineRule="auto"/>
              <w:rPr>
                <w:rFonts w:ascii="宋体" w:hAnsi="宋体"/>
                <w:sz w:val="18"/>
              </w:rPr>
            </w:pPr>
            <w:r>
              <w:rPr>
                <w:rFonts w:hint="eastAsia"/>
                <w:sz w:val="21"/>
                <w:szCs w:val="21"/>
              </w:rPr>
              <w:t>ES</w:t>
            </w:r>
            <w:r>
              <w:rPr>
                <w:rFonts w:hint="eastAsia"/>
                <w:sz w:val="21"/>
                <w:szCs w:val="21"/>
                <w:lang w:eastAsia="zh-CN"/>
              </w:rPr>
              <w:t>：</w:t>
            </w:r>
            <w:r>
              <w:rPr>
                <w:rFonts w:hint="eastAsia"/>
                <w:sz w:val="21"/>
                <w:szCs w:val="21"/>
                <w:lang w:val="en-US" w:eastAsia="zh-CN"/>
              </w:rPr>
              <w:t>5.3/</w:t>
            </w:r>
            <w:r>
              <w:rPr>
                <w:rFonts w:hint="eastAsia"/>
                <w:sz w:val="21"/>
                <w:szCs w:val="21"/>
              </w:rPr>
              <w:t xml:space="preserve"> 6.1.2/6.1.3/6.2.2/8.1/8.2</w:t>
            </w:r>
          </w:p>
          <w:p>
            <w:pPr>
              <w:rPr>
                <w:rFonts w:hint="default" w:ascii="宋体" w:hAnsi="宋体" w:eastAsia="宋体"/>
                <w:sz w:val="18"/>
                <w:lang w:val="en-US" w:eastAsia="zh-CN"/>
              </w:rPr>
            </w:pPr>
            <w:r>
              <w:rPr>
                <w:rFonts w:hint="eastAsia"/>
                <w:sz w:val="21"/>
                <w:szCs w:val="21"/>
              </w:rPr>
              <w:t xml:space="preserve">Q: </w:t>
            </w:r>
            <w:r>
              <w:rPr>
                <w:rFonts w:hint="eastAsia"/>
                <w:sz w:val="21"/>
                <w:szCs w:val="21"/>
                <w:lang w:val="en-US" w:eastAsia="zh-CN"/>
              </w:rPr>
              <w:t>5.3/</w:t>
            </w:r>
            <w:r>
              <w:rPr>
                <w:rFonts w:hint="eastAsia"/>
                <w:sz w:val="21"/>
                <w:szCs w:val="21"/>
              </w:rPr>
              <w:t>7.1.3/</w:t>
            </w:r>
            <w:r>
              <w:rPr>
                <w:rFonts w:hint="eastAsia"/>
                <w:sz w:val="21"/>
                <w:szCs w:val="21"/>
                <w:lang w:val="en-US" w:eastAsia="zh-CN"/>
              </w:rPr>
              <w:t>8.1/8.3</w:t>
            </w:r>
            <w:r>
              <w:rPr>
                <w:rFonts w:hint="eastAsia"/>
                <w:sz w:val="21"/>
                <w:szCs w:val="21"/>
              </w:rPr>
              <w:t>/</w:t>
            </w:r>
            <w:r>
              <w:rPr>
                <w:rFonts w:hint="eastAsia"/>
                <w:sz w:val="21"/>
                <w:szCs w:val="21"/>
                <w:lang w:val="en-US" w:eastAsia="zh-CN"/>
              </w:rPr>
              <w:t>8.5/</w:t>
            </w:r>
            <w:r>
              <w:rPr>
                <w:rFonts w:hint="eastAsia"/>
                <w:sz w:val="21"/>
                <w:szCs w:val="21"/>
              </w:rPr>
              <w:t>8.6/8.7</w:t>
            </w:r>
            <w:r>
              <w:rPr>
                <w:rFonts w:hint="eastAsia"/>
                <w:sz w:val="21"/>
                <w:szCs w:val="21"/>
                <w:lang w:val="en-US" w:eastAsia="zh-CN"/>
              </w:rPr>
              <w:t>/10.2</w:t>
            </w:r>
          </w:p>
          <w:p>
            <w:pPr>
              <w:pStyle w:val="12"/>
              <w:rPr>
                <w:bCs w:val="0"/>
                <w:sz w:val="21"/>
                <w:szCs w:val="21"/>
              </w:rPr>
            </w:pPr>
          </w:p>
          <w:p>
            <w:pPr>
              <w:snapToGrid w:val="0"/>
              <w:spacing w:line="280" w:lineRule="exact"/>
              <w:jc w:val="left"/>
              <w:rPr>
                <w:rFonts w:hint="default" w:eastAsia="宋体"/>
                <w:b/>
                <w:sz w:val="21"/>
                <w:szCs w:val="21"/>
                <w:lang w:val="en-US" w:eastAsia="zh-CN"/>
              </w:rPr>
            </w:pPr>
          </w:p>
        </w:tc>
        <w:tc>
          <w:tcPr>
            <w:tcW w:w="1196" w:type="dxa"/>
            <w:tcBorders>
              <w:right w:val="single" w:color="auto" w:sz="8" w:space="0"/>
            </w:tcBorders>
            <w:vAlign w:val="center"/>
          </w:tcPr>
          <w:p>
            <w:pPr>
              <w:snapToGrid w:val="0"/>
              <w:spacing w:line="280" w:lineRule="exact"/>
              <w:ind w:firstLine="211" w:firstLineChars="100"/>
              <w:jc w:val="left"/>
              <w:rPr>
                <w:rFonts w:hint="default"/>
                <w:b/>
                <w:sz w:val="21"/>
                <w:szCs w:val="21"/>
                <w:lang w:val="en-US" w:eastAsia="zh-CN"/>
              </w:rPr>
            </w:pPr>
            <w:r>
              <w:rPr>
                <w:rFonts w:hint="eastAsia"/>
                <w:b/>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1"/>
                <w:szCs w:val="21"/>
                <w:lang w:val="en-US" w:eastAsia="zh-CN"/>
              </w:rPr>
            </w:pPr>
          </w:p>
        </w:tc>
        <w:tc>
          <w:tcPr>
            <w:tcW w:w="1505" w:type="dxa"/>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:00-1</w:t>
            </w:r>
            <w:r>
              <w:rPr>
                <w:rFonts w:hint="eastAsia" w:ascii="宋体" w:hAnsi="宋体"/>
                <w:sz w:val="21"/>
                <w:szCs w:val="21"/>
                <w:lang w:val="en-US" w:eastAsia="zh-CN"/>
              </w:rPr>
              <w:t>1</w:t>
            </w:r>
            <w:r>
              <w:rPr>
                <w:rFonts w:hint="eastAsia" w:ascii="宋体" w:hAnsi="宋体"/>
                <w:sz w:val="21"/>
                <w:szCs w:val="21"/>
              </w:rPr>
              <w:t>:30</w:t>
            </w:r>
          </w:p>
        </w:tc>
        <w:tc>
          <w:tcPr>
            <w:tcW w:w="6665" w:type="dxa"/>
            <w:vAlign w:val="top"/>
          </w:tcPr>
          <w:p>
            <w:pPr>
              <w:snapToGrid w:val="0"/>
              <w:ind w:firstLine="480"/>
              <w:rPr>
                <w:rFonts w:ascii="楷体_GB2312" w:eastAsia="楷体_GB2312"/>
              </w:rPr>
            </w:pPr>
            <w:r>
              <w:rPr>
                <w:rFonts w:hint="eastAsia" w:ascii="楷体_GB2312" w:eastAsia="楷体_GB2312"/>
              </w:rPr>
              <w:t>审核组总结，</w:t>
            </w:r>
            <w:r>
              <w:rPr>
                <w:rFonts w:ascii="楷体_GB2312" w:eastAsia="楷体_GB2312"/>
              </w:rPr>
              <w:t>遗留问题处理、审核资料准备</w:t>
            </w:r>
          </w:p>
          <w:p>
            <w:pPr>
              <w:snapToGrid w:val="0"/>
              <w:ind w:firstLine="480" w:firstLineChars="0"/>
              <w:rPr>
                <w:rFonts w:ascii="Times New Roman" w:hAnsi="Times New Roman" w:eastAsia="宋体" w:cs="Times New Roman"/>
                <w:kern w:val="2"/>
                <w:sz w:val="21"/>
                <w:szCs w:val="21"/>
                <w:lang w:val="en-US" w:eastAsia="zh-CN" w:bidi="ar-SA"/>
              </w:rPr>
            </w:pPr>
            <w:r>
              <w:rPr>
                <w:rFonts w:hint="eastAsia" w:ascii="楷体_GB2312" w:eastAsia="楷体_GB2312"/>
              </w:rPr>
              <w:t>管理层：与受审核方交流，</w:t>
            </w:r>
            <w:r>
              <w:rPr>
                <w:rFonts w:ascii="楷体_GB2312" w:eastAsia="楷体_GB2312"/>
              </w:rPr>
              <w:t>商定第二阶段审核的细节</w:t>
            </w:r>
          </w:p>
        </w:tc>
        <w:tc>
          <w:tcPr>
            <w:tcW w:w="1196" w:type="dxa"/>
            <w:tcBorders>
              <w:righ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505" w:type="dxa"/>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:30-1</w:t>
            </w:r>
            <w:r>
              <w:rPr>
                <w:rFonts w:hint="eastAsia" w:ascii="宋体" w:hAnsi="宋体"/>
                <w:sz w:val="21"/>
                <w:szCs w:val="21"/>
                <w:lang w:val="en-US" w:eastAsia="zh-CN"/>
              </w:rPr>
              <w:t>2</w:t>
            </w:r>
            <w:r>
              <w:rPr>
                <w:rFonts w:hint="eastAsia" w:ascii="宋体" w:hAnsi="宋体"/>
                <w:sz w:val="21"/>
                <w:szCs w:val="21"/>
              </w:rPr>
              <w:t>:00</w:t>
            </w:r>
          </w:p>
        </w:tc>
        <w:tc>
          <w:tcPr>
            <w:tcW w:w="6665" w:type="dxa"/>
            <w:vAlign w:val="top"/>
          </w:tcPr>
          <w:p>
            <w:pPr>
              <w:snapToGrid w:val="0"/>
              <w:ind w:firstLine="720" w:firstLineChars="300"/>
              <w:rPr>
                <w:rFonts w:hint="eastAsia" w:ascii="楷体_GB2312" w:eastAsia="楷体_GB2312"/>
              </w:rPr>
            </w:pPr>
          </w:p>
          <w:p>
            <w:pPr>
              <w:snapToGrid w:val="0"/>
              <w:ind w:firstLine="720" w:firstLineChars="300"/>
              <w:rPr>
                <w:rFonts w:hint="eastAsia" w:ascii="楷体_GB2312" w:eastAsia="楷体_GB2312"/>
              </w:rPr>
            </w:pPr>
          </w:p>
          <w:p>
            <w:pPr>
              <w:snapToGrid w:val="0"/>
              <w:ind w:firstLine="720" w:firstLineChars="300"/>
              <w:rPr>
                <w:rFonts w:ascii="楷体_GB2312" w:hAnsi="Times New Roman" w:eastAsia="楷体_GB2312" w:cs="Times New Roman"/>
                <w:kern w:val="2"/>
                <w:sz w:val="24"/>
                <w:lang w:val="en-US" w:eastAsia="zh-CN" w:bidi="ar-SA"/>
              </w:rPr>
            </w:pPr>
            <w:r>
              <w:rPr>
                <w:rFonts w:hint="eastAsia" w:ascii="楷体_GB2312" w:eastAsia="楷体_GB2312"/>
              </w:rPr>
              <w:t>末次会议</w:t>
            </w:r>
          </w:p>
        </w:tc>
        <w:tc>
          <w:tcPr>
            <w:tcW w:w="1196" w:type="dxa"/>
            <w:tcBorders>
              <w:righ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377" w:type="dxa"/>
            <w:gridSpan w:val="4"/>
            <w:tcBorders>
              <w:left w:val="single" w:color="auto" w:sz="8" w:space="0"/>
              <w:right w:val="single" w:color="auto" w:sz="8" w:space="0"/>
            </w:tcBorders>
            <w:vAlign w:val="center"/>
          </w:tcPr>
          <w:p>
            <w:pPr>
              <w:snapToGrid w:val="0"/>
              <w:spacing w:line="280" w:lineRule="exact"/>
              <w:jc w:val="left"/>
              <w:rPr>
                <w:b/>
                <w:sz w:val="20"/>
              </w:rPr>
            </w:pP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4A76C8"/>
    <w:rsid w:val="50824DF6"/>
    <w:rsid w:val="53FA659B"/>
    <w:rsid w:val="751B1D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叶子</cp:lastModifiedBy>
  <cp:lastPrinted>2019-03-27T03:10:00Z</cp:lastPrinted>
  <dcterms:modified xsi:type="dcterms:W3CDTF">2021-02-15T04:41:09Z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