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r>
        <w:rPr>
          <w:rFonts w:ascii="Times New Roman" w:hAnsi="Times New Roman" w:cs="Times New Roman"/>
        </w:rP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rPr>
          <w:rFonts w:ascii="Times New Roman" w:hAnsi="Times New Roman" w:cs="Times New Roman"/>
        </w:rPr>
      </w:pPr>
    </w:p>
    <w:p>
      <w:pPr>
        <w:spacing w:line="0" w:lineRule="atLeast"/>
        <w:rPr>
          <w:rFonts w:ascii="Times New Roman" w:hAnsi="Times New Roman" w:cs="Times New Roman"/>
          <w:sz w:val="48"/>
        </w:rPr>
      </w:pPr>
    </w:p>
    <w:p>
      <w:pPr>
        <w:spacing w:line="0" w:lineRule="atLeast"/>
        <w:rPr>
          <w:rFonts w:ascii="Times New Roman" w:hAnsi="Times New Roman" w:cs="Times New Roman"/>
          <w:sz w:val="48"/>
        </w:rPr>
      </w:pPr>
    </w:p>
    <w:p>
      <w:pPr>
        <w:spacing w:line="0" w:lineRule="atLeast"/>
        <w:rPr>
          <w:rFonts w:ascii="Times New Roman" w:hAnsi="Times New Roman" w:cs="Times New Roman"/>
          <w:sz w:val="24"/>
          <w:szCs w:val="15"/>
        </w:rPr>
      </w:pPr>
    </w:p>
    <w:p>
      <w:pPr>
        <w:spacing w:line="500" w:lineRule="exact"/>
        <w:rPr>
          <w:rFonts w:ascii="Times New Roman" w:hAnsi="Times New Roman" w:cs="Times New Roman"/>
          <w:sz w:val="40"/>
          <w:szCs w:val="21"/>
        </w:rPr>
      </w:pPr>
    </w:p>
    <w:p>
      <w:pPr>
        <w:adjustRightInd w:val="0"/>
        <w:snapToGrid w:val="0"/>
        <w:spacing w:line="500" w:lineRule="exact"/>
        <w:ind w:firstLine="57"/>
        <w:jc w:val="center"/>
        <w:rPr>
          <w:rFonts w:ascii="Times New Roman" w:hAnsi="Times New Roman" w:cs="Times New Roman"/>
          <w:b/>
          <w:sz w:val="44"/>
          <w:szCs w:val="44"/>
        </w:rPr>
      </w:pPr>
      <w:r>
        <w:rPr>
          <w:rFonts w:ascii="Times New Roman" w:hAnsi="Times New Roman" w:cs="Times New Roman"/>
          <w:b/>
          <w:sz w:val="44"/>
          <w:szCs w:val="44"/>
        </w:rPr>
        <w:t>测量管理体系</w:t>
      </w:r>
    </w:p>
    <w:p>
      <w:pPr>
        <w:adjustRightInd w:val="0"/>
        <w:snapToGrid w:val="0"/>
        <w:spacing w:line="400" w:lineRule="exact"/>
        <w:ind w:firstLine="57"/>
        <w:jc w:val="center"/>
        <w:rPr>
          <w:rFonts w:ascii="Times New Roman" w:hAnsi="Times New Roman" w:cs="Times New Roman"/>
          <w:b/>
          <w:bCs/>
          <w:sz w:val="32"/>
          <w:szCs w:val="32"/>
        </w:rPr>
      </w:pPr>
      <w:r>
        <w:rPr>
          <w:rFonts w:ascii="Times New Roman" w:hAnsi="Times New Roman" w:cs="Times New Roman"/>
          <w:b/>
          <w:bCs/>
          <w:sz w:val="32"/>
          <w:szCs w:val="32"/>
        </w:rPr>
        <w:t>（</w:t>
      </w:r>
      <w:bookmarkStart w:id="0" w:name="审核依据"/>
      <w:r>
        <w:rPr>
          <w:rFonts w:ascii="Times New Roman" w:hAnsi="Times New Roman" w:cs="Times New Roman"/>
          <w:b/>
          <w:bCs/>
          <w:sz w:val="32"/>
          <w:szCs w:val="32"/>
        </w:rPr>
        <w:t>GB/T19022-2003/ISO10012:2003</w:t>
      </w:r>
      <w:bookmarkEnd w:id="0"/>
      <w:r>
        <w:rPr>
          <w:rFonts w:ascii="Times New Roman" w:hAnsi="Times New Roman" w:cs="Times New Roman"/>
          <w:b/>
          <w:bCs/>
          <w:sz w:val="32"/>
          <w:szCs w:val="32"/>
        </w:rPr>
        <w:t>）</w:t>
      </w:r>
    </w:p>
    <w:p>
      <w:pPr>
        <w:widowControl/>
        <w:jc w:val="center"/>
        <w:rPr>
          <w:rFonts w:ascii="Times New Roman" w:hAnsi="Times New Roman" w:cs="Times New Roman"/>
          <w:b/>
          <w:sz w:val="48"/>
          <w:szCs w:val="48"/>
        </w:rPr>
      </w:pPr>
      <w:r>
        <w:rPr>
          <w:rFonts w:ascii="Times New Roman" w:hAnsi="Times New Roman" w:cs="Times New Roman"/>
          <w:b/>
          <w:sz w:val="48"/>
          <w:szCs w:val="48"/>
        </w:rPr>
        <w:t>监督审核报告书</w:t>
      </w:r>
    </w:p>
    <w:p>
      <w:pPr>
        <w:widowControl/>
        <w:rPr>
          <w:rFonts w:ascii="Times New Roman" w:hAnsi="Times New Roman" w:cs="Times New Roman"/>
          <w:b/>
          <w:sz w:val="52"/>
          <w:szCs w:val="52"/>
        </w:rPr>
      </w:pPr>
    </w:p>
    <w:p>
      <w:pPr>
        <w:widowControl/>
        <w:rPr>
          <w:rFonts w:ascii="Times New Roman" w:hAnsi="Times New Roman" w:cs="Times New Roman"/>
          <w:b/>
          <w:sz w:val="52"/>
          <w:szCs w:val="52"/>
        </w:rPr>
      </w:pPr>
    </w:p>
    <w:p>
      <w:pPr>
        <w:widowControl/>
        <w:rPr>
          <w:rFonts w:ascii="Times New Roman" w:hAnsi="Times New Roman" w:cs="Times New Roman"/>
          <w:b/>
          <w:sz w:val="52"/>
          <w:szCs w:val="52"/>
        </w:rPr>
      </w:pPr>
    </w:p>
    <w:p>
      <w:pPr>
        <w:spacing w:line="365" w:lineRule="exact"/>
        <w:rPr>
          <w:rFonts w:ascii="Times New Roman" w:hAnsi="Times New Roman" w:cs="Times New Roman"/>
          <w:sz w:val="32"/>
          <w:szCs w:val="24"/>
        </w:rPr>
      </w:pPr>
    </w:p>
    <w:p>
      <w:pPr>
        <w:spacing w:line="365" w:lineRule="exact"/>
        <w:rPr>
          <w:rFonts w:ascii="Times New Roman" w:hAnsi="Times New Roman" w:cs="Times New Roman"/>
          <w:sz w:val="32"/>
        </w:rPr>
      </w:pPr>
    </w:p>
    <w:p>
      <w:pPr>
        <w:spacing w:line="360" w:lineRule="auto"/>
        <w:jc w:val="left"/>
        <w:rPr>
          <w:rFonts w:hint="eastAsia" w:ascii="Times New Roman" w:hAnsi="Times New Roman" w:cs="Times New Roman" w:eastAsiaTheme="minorEastAsia"/>
          <w:sz w:val="24"/>
          <w:u w:val="single"/>
          <w:lang w:eastAsia="zh-CN"/>
        </w:rPr>
      </w:pPr>
      <w:r>
        <w:rPr>
          <w:rFonts w:ascii="Times New Roman" w:hAnsi="Times New Roman" w:cs="Times New Roman"/>
          <w:sz w:val="32"/>
        </w:rPr>
        <w:t>认 证 企 业：</w:t>
      </w:r>
      <w:r>
        <w:rPr>
          <w:rFonts w:hint="eastAsia" w:ascii="宋体" w:hAnsi="宋体" w:eastAsia="宋体" w:cs="宋体"/>
          <w:sz w:val="30"/>
          <w:szCs w:val="30"/>
          <w:u w:val="single"/>
          <w:lang w:eastAsia="zh-CN"/>
        </w:rPr>
        <w:t>东营金丰正阳科技发展有限公司</w:t>
      </w:r>
    </w:p>
    <w:p>
      <w:pPr>
        <w:spacing w:line="360" w:lineRule="auto"/>
        <w:jc w:val="left"/>
        <w:rPr>
          <w:rFonts w:hint="default" w:ascii="Times New Roman" w:hAnsi="Times New Roman" w:cs="Times New Roman" w:eastAsiaTheme="minorEastAsia"/>
          <w:spacing w:val="32"/>
          <w:sz w:val="32"/>
          <w:u w:val="single"/>
          <w:lang w:val="en-US" w:eastAsia="zh-CN"/>
        </w:rPr>
      </w:pPr>
      <w:r>
        <w:rPr>
          <w:rFonts w:ascii="Times New Roman" w:hAnsi="Times New Roman" w:cs="Times New Roman"/>
          <w:spacing w:val="80"/>
          <w:sz w:val="32"/>
        </w:rPr>
        <w:t>编</w:t>
      </w:r>
      <w:r>
        <w:rPr>
          <w:rFonts w:hint="eastAsia" w:ascii="Times New Roman" w:hAnsi="Times New Roman" w:cs="Times New Roman"/>
          <w:spacing w:val="80"/>
          <w:sz w:val="32"/>
          <w:lang w:val="en-US" w:eastAsia="zh-CN"/>
        </w:rPr>
        <w:t xml:space="preserve">   </w:t>
      </w:r>
      <w:r>
        <w:rPr>
          <w:rFonts w:ascii="Times New Roman" w:hAnsi="Times New Roman" w:cs="Times New Roman"/>
          <w:spacing w:val="80"/>
          <w:sz w:val="32"/>
        </w:rPr>
        <w:t>号</w:t>
      </w:r>
      <w:r>
        <w:rPr>
          <w:rFonts w:ascii="Times New Roman" w:hAnsi="Times New Roman" w:cs="Times New Roman"/>
          <w:sz w:val="32"/>
        </w:rPr>
        <w:t>：</w:t>
      </w:r>
      <w:bookmarkStart w:id="1" w:name="合同编号"/>
      <w:r>
        <w:rPr>
          <w:rFonts w:hint="eastAsia" w:ascii="Times New Roman" w:hAnsi="Times New Roman" w:cs="Times New Roman"/>
          <w:sz w:val="32"/>
          <w:u w:val="single"/>
          <w:lang w:val="en-US" w:eastAsia="zh-CN"/>
        </w:rPr>
        <w:t xml:space="preserve">   </w:t>
      </w:r>
      <w:r>
        <w:rPr>
          <w:rFonts w:ascii="Times New Roman" w:hAnsi="Times New Roman" w:cs="Times New Roman"/>
          <w:sz w:val="32"/>
          <w:u w:val="single"/>
        </w:rPr>
        <w:t>0</w:t>
      </w:r>
      <w:r>
        <w:rPr>
          <w:rFonts w:hint="eastAsia" w:ascii="Times New Roman" w:hAnsi="Times New Roman" w:cs="Times New Roman"/>
          <w:sz w:val="32"/>
          <w:u w:val="single"/>
          <w:lang w:val="en-US" w:eastAsia="zh-CN"/>
        </w:rPr>
        <w:t>024</w:t>
      </w:r>
      <w:r>
        <w:rPr>
          <w:rFonts w:ascii="Times New Roman" w:hAnsi="Times New Roman" w:cs="Times New Roman"/>
          <w:sz w:val="32"/>
          <w:u w:val="single"/>
        </w:rPr>
        <w:t>-20</w:t>
      </w:r>
      <w:r>
        <w:rPr>
          <w:rFonts w:hint="eastAsia" w:ascii="Times New Roman" w:hAnsi="Times New Roman" w:cs="Times New Roman"/>
          <w:sz w:val="32"/>
          <w:u w:val="single"/>
          <w:lang w:val="en-US" w:eastAsia="zh-CN"/>
        </w:rPr>
        <w:t>20</w:t>
      </w:r>
      <w:r>
        <w:rPr>
          <w:rFonts w:ascii="Times New Roman" w:hAnsi="Times New Roman" w:cs="Times New Roman"/>
          <w:sz w:val="32"/>
          <w:u w:val="single"/>
        </w:rPr>
        <w:t>-202</w:t>
      </w:r>
      <w:bookmarkEnd w:id="1"/>
      <w:r>
        <w:rPr>
          <w:rFonts w:hint="eastAsia" w:ascii="Times New Roman" w:hAnsi="Times New Roman" w:cs="Times New Roman"/>
          <w:sz w:val="32"/>
          <w:u w:val="single"/>
          <w:lang w:val="en-US" w:eastAsia="zh-CN"/>
        </w:rPr>
        <w:t xml:space="preserve">1    </w:t>
      </w:r>
      <w:r>
        <w:rPr>
          <w:rFonts w:hint="eastAsia" w:ascii="Times New Roman" w:hAnsi="Times New Roman" w:cs="Times New Roman"/>
          <w:sz w:val="32"/>
          <w:u w:val="none"/>
          <w:lang w:val="en-US" w:eastAsia="zh-CN"/>
        </w:rPr>
        <w:t xml:space="preserve">  </w:t>
      </w:r>
    </w:p>
    <w:p>
      <w:pPr>
        <w:spacing w:line="360" w:lineRule="auto"/>
        <w:jc w:val="left"/>
        <w:rPr>
          <w:rFonts w:hint="default" w:ascii="Times New Roman" w:hAnsi="Times New Roman" w:cs="Times New Roman" w:eastAsiaTheme="minorEastAsia"/>
          <w:sz w:val="32"/>
          <w:u w:val="single"/>
          <w:lang w:val="en-US" w:eastAsia="zh-CN"/>
        </w:rPr>
      </w:pPr>
      <w:r>
        <w:rPr>
          <w:rFonts w:ascii="Times New Roman" w:hAnsi="Times New Roman" w:cs="Times New Roman"/>
          <w:spacing w:val="80"/>
          <w:sz w:val="32"/>
        </w:rPr>
        <w:t>审核类型</w:t>
      </w:r>
      <w:r>
        <w:rPr>
          <w:rFonts w:ascii="Times New Roman" w:hAnsi="Times New Roman" w:cs="Times New Roman"/>
          <w:sz w:val="32"/>
        </w:rPr>
        <w:t>：</w:t>
      </w:r>
      <w:r>
        <w:rPr>
          <w:rFonts w:hint="eastAsia" w:ascii="Times New Roman" w:hAnsi="Times New Roman" w:cs="Times New Roman"/>
          <w:sz w:val="32"/>
          <w:u w:val="single"/>
          <w:lang w:val="en-US" w:eastAsia="zh-CN"/>
        </w:rPr>
        <w:t xml:space="preserve">   </w:t>
      </w:r>
      <w:r>
        <w:rPr>
          <w:rFonts w:ascii="Times New Roman" w:hAnsi="Times New Roman" w:cs="Times New Roman"/>
          <w:sz w:val="32"/>
          <w:u w:val="single"/>
        </w:rPr>
        <w:t>年度监督审核</w:t>
      </w:r>
      <w:r>
        <w:rPr>
          <w:rFonts w:hint="eastAsia" w:ascii="Times New Roman" w:hAnsi="Times New Roman" w:cs="Times New Roman"/>
          <w:sz w:val="32"/>
          <w:u w:val="single"/>
          <w:lang w:val="en-US" w:eastAsia="zh-CN"/>
        </w:rPr>
        <w:t xml:space="preserve">     </w:t>
      </w:r>
    </w:p>
    <w:p>
      <w:pPr>
        <w:widowControl/>
        <w:spacing w:line="360" w:lineRule="auto"/>
        <w:ind w:right="360"/>
        <w:rPr>
          <w:rFonts w:ascii="Times New Roman" w:hAnsi="Times New Roman" w:cs="Times New Roman"/>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hint="eastAsia"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p>
    <w:p>
      <w:pPr>
        <w:widowControl/>
        <w:spacing w:line="360" w:lineRule="auto"/>
        <w:jc w:val="right"/>
        <w:rPr>
          <w:rFonts w:hint="eastAsia" w:ascii="Times New Roman" w:hAnsi="Times New Roman" w:eastAsia="宋体" w:cs="Times New Roman"/>
          <w:bCs/>
          <w:kern w:val="0"/>
          <w:sz w:val="18"/>
          <w:szCs w:val="18"/>
          <w:lang w:val="en-US" w:eastAsia="zh-CN"/>
        </w:rPr>
      </w:pPr>
      <w:r>
        <w:rPr>
          <w:rFonts w:ascii="Times New Roman" w:hAnsi="Times New Roman" w:eastAsia="宋体" w:cs="Times New Roman"/>
          <w:bCs/>
          <w:kern w:val="0"/>
          <w:sz w:val="18"/>
          <w:szCs w:val="18"/>
        </w:rPr>
        <w:t>编号：</w:t>
      </w:r>
      <w:bookmarkStart w:id="2" w:name="合同编号Add"/>
      <w:r>
        <w:rPr>
          <w:rFonts w:ascii="Times New Roman" w:hAnsi="Times New Roman" w:eastAsia="宋体" w:cs="Times New Roman"/>
          <w:bCs/>
          <w:kern w:val="0"/>
          <w:sz w:val="18"/>
          <w:szCs w:val="18"/>
          <w:u w:val="single"/>
        </w:rPr>
        <w:t>0</w:t>
      </w:r>
      <w:r>
        <w:rPr>
          <w:rFonts w:hint="eastAsia" w:ascii="Times New Roman" w:hAnsi="Times New Roman" w:eastAsia="宋体" w:cs="Times New Roman"/>
          <w:bCs/>
          <w:kern w:val="0"/>
          <w:sz w:val="18"/>
          <w:szCs w:val="18"/>
          <w:u w:val="single"/>
          <w:lang w:val="en-US" w:eastAsia="zh-CN"/>
        </w:rPr>
        <w:t>024</w:t>
      </w:r>
      <w:r>
        <w:rPr>
          <w:rFonts w:ascii="Times New Roman" w:hAnsi="Times New Roman" w:eastAsia="宋体" w:cs="Times New Roman"/>
          <w:bCs/>
          <w:kern w:val="0"/>
          <w:sz w:val="18"/>
          <w:szCs w:val="18"/>
          <w:u w:val="single"/>
        </w:rPr>
        <w:t>-20</w:t>
      </w:r>
      <w:r>
        <w:rPr>
          <w:rFonts w:hint="eastAsia" w:ascii="Times New Roman" w:hAnsi="Times New Roman" w:eastAsia="宋体" w:cs="Times New Roman"/>
          <w:bCs/>
          <w:kern w:val="0"/>
          <w:sz w:val="18"/>
          <w:szCs w:val="18"/>
          <w:u w:val="single"/>
          <w:lang w:val="en-US" w:eastAsia="zh-CN"/>
        </w:rPr>
        <w:t>20</w:t>
      </w:r>
      <w:r>
        <w:rPr>
          <w:rFonts w:ascii="Times New Roman" w:hAnsi="Times New Roman" w:eastAsia="宋体" w:cs="Times New Roman"/>
          <w:bCs/>
          <w:kern w:val="0"/>
          <w:sz w:val="18"/>
          <w:szCs w:val="18"/>
          <w:u w:val="single"/>
        </w:rPr>
        <w:t>-202</w:t>
      </w:r>
      <w:bookmarkEnd w:id="2"/>
      <w:r>
        <w:rPr>
          <w:rFonts w:hint="eastAsia" w:ascii="Times New Roman" w:hAnsi="Times New Roman" w:eastAsia="宋体" w:cs="Times New Roman"/>
          <w:bCs/>
          <w:kern w:val="0"/>
          <w:sz w:val="18"/>
          <w:szCs w:val="18"/>
          <w:u w:val="single"/>
          <w:lang w:val="en-US" w:eastAsia="zh-CN"/>
        </w:rPr>
        <w:t>1</w:t>
      </w:r>
    </w:p>
    <w:p>
      <w:pPr>
        <w:widowControl/>
        <w:spacing w:line="360" w:lineRule="auto"/>
        <w:jc w:val="center"/>
        <w:rPr>
          <w:rFonts w:ascii="Times New Roman" w:hAnsi="Times New Roman" w:eastAsia="宋体" w:cs="Times New Roman"/>
          <w:b/>
          <w:bCs/>
          <w:kern w:val="0"/>
          <w:sz w:val="30"/>
          <w:szCs w:val="30"/>
        </w:rPr>
      </w:pPr>
      <w:r>
        <w:rPr>
          <w:rFonts w:ascii="Times New Roman" w:hAnsi="Times New Roman" w:eastAsia="宋体" w:cs="Times New Roman"/>
          <w:b/>
          <w:bCs/>
          <w:kern w:val="0"/>
          <w:sz w:val="30"/>
          <w:szCs w:val="30"/>
        </w:rPr>
        <w:t>监督审核报告</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一、基本情况</w:t>
      </w:r>
    </w:p>
    <w:tbl>
      <w:tblPr>
        <w:tblStyle w:val="5"/>
        <w:tblW w:w="9418" w:type="dxa"/>
        <w:tblInd w:w="-2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8"/>
        <w:gridCol w:w="3435"/>
        <w:gridCol w:w="1755"/>
        <w:gridCol w:w="2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8" w:type="dxa"/>
            <w:noWrap w:val="0"/>
            <w:vAlign w:val="center"/>
          </w:tcPr>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hAnsi="宋体" w:cs="宋体"/>
                <w:bCs/>
                <w:kern w:val="0"/>
                <w:szCs w:val="21"/>
              </w:rPr>
              <w:t>企业</w:t>
            </w:r>
            <w:r>
              <w:rPr>
                <w:rFonts w:hint="eastAsia" w:ascii="宋体" w:hAnsi="宋体" w:cs="宋体"/>
                <w:kern w:val="0"/>
                <w:szCs w:val="21"/>
              </w:rPr>
              <w:t>名称</w:t>
            </w:r>
          </w:p>
        </w:tc>
        <w:tc>
          <w:tcPr>
            <w:tcW w:w="3435" w:type="dxa"/>
            <w:noWrap w:val="0"/>
            <w:vAlign w:val="center"/>
          </w:tcPr>
          <w:p>
            <w:pPr>
              <w:tabs>
                <w:tab w:val="left" w:pos="880"/>
              </w:tabs>
              <w:autoSpaceDE w:val="0"/>
              <w:autoSpaceDN w:val="0"/>
              <w:adjustRightInd w:val="0"/>
              <w:spacing w:before="35" w:line="276" w:lineRule="auto"/>
              <w:ind w:right="161"/>
              <w:jc w:val="both"/>
              <w:rPr>
                <w:rFonts w:hint="eastAsia" w:ascii="宋体" w:eastAsia="宋体" w:cs="宋体"/>
                <w:kern w:val="0"/>
                <w:szCs w:val="21"/>
                <w:lang w:eastAsia="zh-CN"/>
              </w:rPr>
            </w:pPr>
            <w:r>
              <w:rPr>
                <w:rFonts w:hint="eastAsia" w:ascii="宋体" w:hAnsi="宋体" w:eastAsia="宋体"/>
                <w:color w:val="000000"/>
                <w:szCs w:val="21"/>
                <w:lang w:eastAsia="zh-CN"/>
              </w:rPr>
              <w:t>东营金丰正阳科技发展有限公司</w:t>
            </w:r>
          </w:p>
        </w:tc>
        <w:tc>
          <w:tcPr>
            <w:tcW w:w="1755" w:type="dxa"/>
            <w:noWrap w:val="0"/>
            <w:vAlign w:val="center"/>
          </w:tcPr>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hAnsi="宋体" w:cs="宋体"/>
                <w:kern w:val="0"/>
                <w:szCs w:val="21"/>
              </w:rPr>
              <w:t>企业联系人</w:t>
            </w:r>
          </w:p>
        </w:tc>
        <w:tc>
          <w:tcPr>
            <w:tcW w:w="2400" w:type="dxa"/>
            <w:noWrap w:val="0"/>
            <w:vAlign w:val="center"/>
          </w:tcPr>
          <w:p>
            <w:pPr>
              <w:tabs>
                <w:tab w:val="left" w:pos="880"/>
              </w:tabs>
              <w:autoSpaceDE w:val="0"/>
              <w:autoSpaceDN w:val="0"/>
              <w:adjustRightInd w:val="0"/>
              <w:spacing w:before="35" w:line="360" w:lineRule="auto"/>
              <w:ind w:right="161" w:firstLine="210" w:firstLineChars="100"/>
              <w:jc w:val="both"/>
              <w:rPr>
                <w:rFonts w:hint="eastAsia" w:ascii="宋体" w:eastAsia="宋体" w:cs="宋体"/>
                <w:kern w:val="0"/>
                <w:szCs w:val="21"/>
                <w:lang w:val="en-US" w:eastAsia="zh-CN"/>
              </w:rPr>
            </w:pPr>
            <w:r>
              <w:rPr>
                <w:rFonts w:hint="eastAsia" w:ascii="宋体" w:eastAsia="宋体" w:cs="宋体"/>
                <w:kern w:val="0"/>
                <w:szCs w:val="21"/>
                <w:lang w:val="en-US" w:eastAsia="zh-CN"/>
              </w:rPr>
              <w:t>栾丽燕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8" w:type="dxa"/>
            <w:noWrap w:val="0"/>
            <w:vAlign w:val="center"/>
          </w:tcPr>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hAnsi="宋体" w:cs="宋体"/>
                <w:kern w:val="0"/>
                <w:szCs w:val="21"/>
              </w:rPr>
              <w:t>认证证书编号</w:t>
            </w:r>
          </w:p>
        </w:tc>
        <w:tc>
          <w:tcPr>
            <w:tcW w:w="3435" w:type="dxa"/>
            <w:noWrap w:val="0"/>
            <w:vAlign w:val="top"/>
          </w:tcPr>
          <w:p>
            <w:pPr>
              <w:tabs>
                <w:tab w:val="left" w:pos="880"/>
              </w:tabs>
              <w:autoSpaceDE w:val="0"/>
              <w:autoSpaceDN w:val="0"/>
              <w:adjustRightInd w:val="0"/>
              <w:spacing w:before="35" w:line="276" w:lineRule="auto"/>
              <w:ind w:right="161" w:rightChars="0"/>
              <w:rPr>
                <w:rFonts w:hint="default" w:ascii="宋体" w:eastAsia="宋体"/>
                <w:color w:val="auto"/>
                <w:lang w:val="en-US" w:eastAsia="zh-CN"/>
              </w:rPr>
            </w:pPr>
            <w:r>
              <w:rPr>
                <w:rFonts w:hint="eastAsia" w:ascii="宋体" w:hAnsi="宋体" w:cs="宋体"/>
                <w:kern w:val="0"/>
                <w:szCs w:val="21"/>
                <w:shd w:val="clear" w:color="auto" w:fill="auto"/>
                <w:lang w:val="en-US" w:eastAsia="zh-CN"/>
              </w:rPr>
              <w:t>ISC-2020-0647</w:t>
            </w:r>
          </w:p>
        </w:tc>
        <w:tc>
          <w:tcPr>
            <w:tcW w:w="1755" w:type="dxa"/>
            <w:noWrap w:val="0"/>
            <w:vAlign w:val="top"/>
          </w:tcPr>
          <w:p>
            <w:pPr>
              <w:tabs>
                <w:tab w:val="left" w:pos="880"/>
              </w:tabs>
              <w:autoSpaceDE w:val="0"/>
              <w:autoSpaceDN w:val="0"/>
              <w:adjustRightInd w:val="0"/>
              <w:spacing w:before="35" w:line="276" w:lineRule="auto"/>
              <w:ind w:right="161" w:rightChars="0"/>
              <w:rPr>
                <w:rFonts w:ascii="宋体"/>
                <w:color w:val="auto"/>
              </w:rPr>
            </w:pPr>
            <w:r>
              <w:rPr>
                <w:rFonts w:hint="eastAsia" w:ascii="宋体" w:hAnsi="宋体" w:cs="宋体"/>
                <w:kern w:val="0"/>
                <w:szCs w:val="21"/>
              </w:rPr>
              <w:t>证书有效期</w:t>
            </w:r>
          </w:p>
        </w:tc>
        <w:tc>
          <w:tcPr>
            <w:tcW w:w="2400" w:type="dxa"/>
            <w:noWrap w:val="0"/>
            <w:vAlign w:val="top"/>
          </w:tcPr>
          <w:p>
            <w:pPr>
              <w:tabs>
                <w:tab w:val="left" w:pos="880"/>
              </w:tabs>
              <w:autoSpaceDE w:val="0"/>
              <w:autoSpaceDN w:val="0"/>
              <w:adjustRightInd w:val="0"/>
              <w:spacing w:before="35" w:line="360" w:lineRule="auto"/>
              <w:ind w:right="161" w:rightChars="0"/>
              <w:rPr>
                <w:rFonts w:hint="default" w:ascii="宋体"/>
                <w:color w:val="auto"/>
                <w:highlight w:val="none"/>
                <w:lang w:val="en-US"/>
              </w:rPr>
            </w:pPr>
            <w:r>
              <w:rPr>
                <w:rFonts w:hint="eastAsia" w:ascii="宋体" w:hAnsi="宋体" w:cs="宋体"/>
                <w:kern w:val="0"/>
                <w:szCs w:val="21"/>
                <w:shd w:val="clear" w:color="auto" w:fill="auto"/>
                <w:lang w:val="en-US" w:eastAsia="zh-CN"/>
              </w:rPr>
              <w:t>2025.3.5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8" w:type="dxa"/>
            <w:noWrap w:val="0"/>
            <w:vAlign w:val="center"/>
          </w:tcPr>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hAnsi="宋体" w:cs="宋体"/>
                <w:kern w:val="0"/>
                <w:szCs w:val="21"/>
              </w:rPr>
              <w:t>监督审核次数</w:t>
            </w:r>
          </w:p>
        </w:tc>
        <w:tc>
          <w:tcPr>
            <w:tcW w:w="3435" w:type="dxa"/>
            <w:noWrap w:val="0"/>
            <w:vAlign w:val="center"/>
          </w:tcPr>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cs="宋体"/>
                <w:kern w:val="0"/>
                <w:szCs w:val="21"/>
              </w:rPr>
              <w:t>第</w:t>
            </w:r>
            <w:r>
              <w:rPr>
                <w:rFonts w:hint="eastAsia" w:ascii="宋体" w:cs="宋体"/>
                <w:kern w:val="0"/>
                <w:szCs w:val="21"/>
                <w:lang w:eastAsia="zh-CN"/>
              </w:rPr>
              <w:t>一</w:t>
            </w:r>
            <w:r>
              <w:rPr>
                <w:rFonts w:hint="eastAsia" w:ascii="宋体" w:cs="宋体"/>
                <w:kern w:val="0"/>
                <w:szCs w:val="21"/>
              </w:rPr>
              <w:t>次</w:t>
            </w:r>
          </w:p>
        </w:tc>
        <w:tc>
          <w:tcPr>
            <w:tcW w:w="1755" w:type="dxa"/>
            <w:noWrap w:val="0"/>
            <w:vAlign w:val="center"/>
          </w:tcPr>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hAnsi="宋体" w:cs="宋体"/>
                <w:kern w:val="0"/>
                <w:szCs w:val="21"/>
              </w:rPr>
              <w:t>本次监督</w:t>
            </w:r>
            <w:r>
              <w:rPr>
                <w:rFonts w:hint="eastAsia" w:ascii="宋体" w:hAnsi="宋体" w:cs="宋体"/>
                <w:color w:val="333333"/>
                <w:kern w:val="0"/>
                <w:szCs w:val="21"/>
              </w:rPr>
              <w:t>时间</w:t>
            </w:r>
          </w:p>
        </w:tc>
        <w:tc>
          <w:tcPr>
            <w:tcW w:w="2400" w:type="dxa"/>
            <w:noWrap w:val="0"/>
            <w:vAlign w:val="center"/>
          </w:tcPr>
          <w:p>
            <w:pPr>
              <w:tabs>
                <w:tab w:val="left" w:pos="880"/>
              </w:tabs>
              <w:autoSpaceDE w:val="0"/>
              <w:autoSpaceDN w:val="0"/>
              <w:adjustRightInd w:val="0"/>
              <w:spacing w:before="35" w:line="360" w:lineRule="auto"/>
              <w:ind w:right="161"/>
              <w:jc w:val="both"/>
              <w:rPr>
                <w:rFonts w:ascii="宋体" w:cs="宋体"/>
                <w:color w:val="auto"/>
                <w:kern w:val="0"/>
                <w:szCs w:val="21"/>
                <w:highlight w:val="none"/>
              </w:rPr>
            </w:pPr>
            <w:r>
              <w:rPr>
                <w:rFonts w:ascii="宋体" w:hAnsi="宋体" w:cs="宋体"/>
                <w:color w:val="auto"/>
                <w:kern w:val="0"/>
                <w:szCs w:val="21"/>
                <w:highlight w:val="none"/>
              </w:rPr>
              <w:t>20</w:t>
            </w:r>
            <w:r>
              <w:rPr>
                <w:rFonts w:hint="eastAsia" w:ascii="宋体" w:hAnsi="宋体" w:cs="宋体"/>
                <w:color w:val="auto"/>
                <w:kern w:val="0"/>
                <w:szCs w:val="21"/>
                <w:highlight w:val="none"/>
                <w:lang w:val="en-US" w:eastAsia="zh-CN"/>
              </w:rPr>
              <w:t>21</w:t>
            </w:r>
            <w:r>
              <w:rPr>
                <w:rFonts w:hint="eastAsia" w:ascii="宋体" w:hAnsi="宋体" w:cs="宋体"/>
                <w:color w:val="auto"/>
                <w:kern w:val="0"/>
                <w:szCs w:val="21"/>
                <w:highlight w:val="none"/>
              </w:rPr>
              <w:t>年</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月</w:t>
            </w:r>
            <w:r>
              <w:rPr>
                <w:rFonts w:hint="eastAsia" w:ascii="宋体" w:hAnsi="宋体" w:cs="宋体"/>
                <w:color w:val="auto"/>
                <w:kern w:val="0"/>
                <w:szCs w:val="21"/>
                <w:highlight w:val="none"/>
                <w:lang w:val="en-US" w:eastAsia="zh-CN"/>
              </w:rPr>
              <w:t>21</w:t>
            </w:r>
            <w:r>
              <w:rPr>
                <w:rFonts w:hint="eastAsia" w:ascii="宋体" w:hAnsi="宋体" w:cs="宋体"/>
                <w:color w:val="auto"/>
                <w:kern w:val="0"/>
                <w:szCs w:val="21"/>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828" w:type="dxa"/>
            <w:noWrap w:val="0"/>
            <w:vAlign w:val="center"/>
          </w:tcPr>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hAnsi="宋体" w:cs="宋体"/>
                <w:kern w:val="0"/>
                <w:szCs w:val="21"/>
              </w:rPr>
              <w:t>监督审核员</w:t>
            </w:r>
          </w:p>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hAnsi="宋体" w:cs="宋体"/>
                <w:kern w:val="0"/>
                <w:szCs w:val="21"/>
              </w:rPr>
              <w:t>姓名及确认号</w:t>
            </w:r>
          </w:p>
        </w:tc>
        <w:tc>
          <w:tcPr>
            <w:tcW w:w="3435" w:type="dxa"/>
            <w:noWrap w:val="0"/>
            <w:vAlign w:val="center"/>
          </w:tcPr>
          <w:p>
            <w:pPr>
              <w:tabs>
                <w:tab w:val="left" w:pos="880"/>
              </w:tabs>
              <w:autoSpaceDE w:val="0"/>
              <w:autoSpaceDN w:val="0"/>
              <w:adjustRightInd w:val="0"/>
              <w:spacing w:before="35" w:line="276" w:lineRule="auto"/>
              <w:ind w:right="161"/>
              <w:jc w:val="both"/>
              <w:rPr>
                <w:rFonts w:hint="eastAsia" w:ascii="宋体" w:hAnsi="宋体"/>
                <w:sz w:val="21"/>
                <w:szCs w:val="21"/>
                <w:lang w:val="en-US" w:eastAsia="zh-CN"/>
              </w:rPr>
            </w:pPr>
            <w:r>
              <w:rPr>
                <w:rFonts w:hint="eastAsia" w:ascii="宋体" w:hAnsi="宋体"/>
                <w:sz w:val="21"/>
                <w:szCs w:val="21"/>
                <w:lang w:eastAsia="zh-CN"/>
              </w:rPr>
              <w:t>姜</w:t>
            </w:r>
            <w:r>
              <w:rPr>
                <w:rFonts w:hint="eastAsia" w:ascii="宋体" w:hAnsi="宋体"/>
                <w:sz w:val="21"/>
                <w:szCs w:val="21"/>
                <w:lang w:val="en-US" w:eastAsia="zh-CN"/>
              </w:rPr>
              <w:t xml:space="preserve">  </w:t>
            </w:r>
            <w:r>
              <w:rPr>
                <w:rFonts w:hint="eastAsia" w:ascii="宋体" w:hAnsi="宋体"/>
                <w:sz w:val="21"/>
                <w:szCs w:val="21"/>
                <w:lang w:eastAsia="zh-CN"/>
              </w:rPr>
              <w:t>丽</w:t>
            </w:r>
            <w:r>
              <w:rPr>
                <w:rFonts w:ascii="宋体" w:hAnsi="宋体"/>
                <w:sz w:val="21"/>
                <w:szCs w:val="21"/>
              </w:rPr>
              <w:t xml:space="preserve"> ISC[S]00</w:t>
            </w:r>
            <w:r>
              <w:rPr>
                <w:rFonts w:hint="eastAsia" w:ascii="宋体" w:hAnsi="宋体"/>
                <w:sz w:val="21"/>
                <w:szCs w:val="21"/>
                <w:lang w:val="en-US" w:eastAsia="zh-CN"/>
              </w:rPr>
              <w:t>23</w:t>
            </w:r>
          </w:p>
          <w:p>
            <w:pPr>
              <w:tabs>
                <w:tab w:val="left" w:pos="880"/>
              </w:tabs>
              <w:autoSpaceDE w:val="0"/>
              <w:autoSpaceDN w:val="0"/>
              <w:adjustRightInd w:val="0"/>
              <w:spacing w:before="35" w:line="276" w:lineRule="auto"/>
              <w:ind w:right="161"/>
              <w:jc w:val="both"/>
              <w:rPr>
                <w:rFonts w:hint="eastAsia" w:ascii="宋体" w:hAnsi="宋体"/>
                <w:sz w:val="21"/>
                <w:szCs w:val="21"/>
                <w:lang w:val="en-US" w:eastAsia="zh-CN"/>
              </w:rPr>
            </w:pPr>
          </w:p>
        </w:tc>
        <w:tc>
          <w:tcPr>
            <w:tcW w:w="1755" w:type="dxa"/>
            <w:noWrap w:val="0"/>
            <w:vAlign w:val="center"/>
          </w:tcPr>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hAnsi="宋体" w:cs="宋体"/>
                <w:bCs/>
                <w:kern w:val="0"/>
                <w:szCs w:val="21"/>
              </w:rPr>
              <w:t>监督审核涉及的区域或部门</w:t>
            </w:r>
          </w:p>
        </w:tc>
        <w:tc>
          <w:tcPr>
            <w:tcW w:w="2400" w:type="dxa"/>
            <w:noWrap w:val="0"/>
            <w:vAlign w:val="top"/>
          </w:tcPr>
          <w:p>
            <w:pPr>
              <w:tabs>
                <w:tab w:val="left" w:pos="880"/>
              </w:tabs>
              <w:autoSpaceDE w:val="0"/>
              <w:autoSpaceDN w:val="0"/>
              <w:adjustRightInd w:val="0"/>
              <w:spacing w:before="35" w:line="240" w:lineRule="auto"/>
              <w:ind w:right="161" w:rightChars="0"/>
              <w:rPr>
                <w:rFonts w:hint="eastAsia" w:ascii="宋体" w:eastAsia="宋体" w:cs="宋体"/>
                <w:color w:val="auto"/>
                <w:kern w:val="0"/>
                <w:sz w:val="24"/>
                <w:szCs w:val="24"/>
                <w:highlight w:val="none"/>
                <w:lang w:eastAsia="zh-CN"/>
              </w:rPr>
            </w:pPr>
            <w:r>
              <w:rPr>
                <w:rFonts w:hint="eastAsia"/>
                <w:sz w:val="21"/>
                <w:szCs w:val="21"/>
                <w:lang w:val="en-US" w:eastAsia="zh-CN"/>
              </w:rPr>
              <w:t>生产部（质量、技术）、</w:t>
            </w:r>
            <w:r>
              <w:rPr>
                <w:rFonts w:hint="eastAsia" w:ascii="宋体" w:hAnsi="宋体"/>
                <w:bCs/>
                <w:sz w:val="21"/>
                <w:szCs w:val="21"/>
                <w:lang w:val="en-US" w:eastAsia="zh-CN"/>
              </w:rPr>
              <w:t>供销部、、办公室、生产车间</w:t>
            </w:r>
          </w:p>
        </w:tc>
      </w:tr>
    </w:tbl>
    <w:p>
      <w:pPr>
        <w:widowControl/>
        <w:spacing w:line="360" w:lineRule="auto"/>
        <w:rPr>
          <w:rFonts w:ascii="Times New Roman" w:hAnsi="Times New Roman" w:cs="Times New Roman"/>
          <w:kern w:val="0"/>
          <w:szCs w:val="21"/>
        </w:rPr>
      </w:pP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1.一年内违反法律法规或重大事故的情况：</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一年内，公司日常运行中生产、经营、安全、销售及管理方面，比去年都有一定提升，未见违反法律、法规问题或重大质量事故发生。</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2.监督审核过程简述：</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为有效评价公司测量管理体系</w:t>
      </w:r>
      <w:r>
        <w:rPr>
          <w:rFonts w:hint="eastAsia" w:ascii="Times New Roman" w:hAnsi="Times New Roman" w:cs="Times New Roman"/>
          <w:bCs/>
          <w:kern w:val="0"/>
          <w:szCs w:val="21"/>
          <w:lang w:eastAsia="zh-CN"/>
        </w:rPr>
        <w:t>认证</w:t>
      </w:r>
      <w:r>
        <w:rPr>
          <w:rFonts w:ascii="Times New Roman" w:hAnsi="Times New Roman" w:cs="Times New Roman"/>
          <w:bCs/>
          <w:kern w:val="0"/>
          <w:szCs w:val="21"/>
        </w:rPr>
        <w:t>后一年以来运行情况，在</w:t>
      </w:r>
      <w:r>
        <w:rPr>
          <w:rFonts w:hint="eastAsia" w:ascii="宋体" w:hAnsi="宋体" w:eastAsia="宋体"/>
          <w:color w:val="000000"/>
          <w:szCs w:val="21"/>
          <w:lang w:eastAsia="zh-CN"/>
        </w:rPr>
        <w:t>东营金丰正阳科技发展有限公司</w:t>
      </w:r>
      <w:r>
        <w:rPr>
          <w:rFonts w:ascii="Times New Roman" w:hAnsi="Times New Roman" w:cs="Times New Roman"/>
          <w:bCs/>
          <w:kern w:val="0"/>
          <w:szCs w:val="21"/>
        </w:rPr>
        <w:t>审核中，审核组先、后抽样检查了涉及公司测量体系内的管理、生产、经营、质量和环境等方面的</w:t>
      </w:r>
      <w:r>
        <w:rPr>
          <w:rFonts w:hint="eastAsia" w:ascii="Times New Roman" w:hAnsi="Times New Roman" w:cs="Times New Roman"/>
          <w:bCs/>
          <w:kern w:val="0"/>
          <w:szCs w:val="21"/>
          <w:lang w:val="en-US" w:eastAsia="zh-CN"/>
        </w:rPr>
        <w:t>3</w:t>
      </w:r>
      <w:r>
        <w:rPr>
          <w:rFonts w:ascii="Times New Roman" w:hAnsi="Times New Roman" w:cs="Times New Roman"/>
          <w:bCs/>
          <w:kern w:val="0"/>
          <w:szCs w:val="21"/>
        </w:rPr>
        <w:t>个职能部门及</w:t>
      </w:r>
      <w:r>
        <w:rPr>
          <w:rFonts w:hint="eastAsia" w:ascii="Times New Roman" w:hAnsi="Times New Roman" w:cs="Times New Roman"/>
          <w:bCs/>
          <w:kern w:val="0"/>
          <w:szCs w:val="21"/>
          <w:lang w:eastAsia="zh-CN"/>
        </w:rPr>
        <w:t>相关</w:t>
      </w:r>
      <w:r>
        <w:rPr>
          <w:rFonts w:ascii="Times New Roman" w:hAnsi="Times New Roman" w:cs="Times New Roman"/>
          <w:bCs/>
          <w:kern w:val="0"/>
          <w:szCs w:val="21"/>
        </w:rPr>
        <w:t>生产</w:t>
      </w:r>
      <w:r>
        <w:rPr>
          <w:rFonts w:hint="eastAsia" w:ascii="Times New Roman" w:hAnsi="Times New Roman" w:cs="Times New Roman"/>
          <w:bCs/>
          <w:kern w:val="0"/>
          <w:szCs w:val="21"/>
          <w:lang w:eastAsia="zh-CN"/>
        </w:rPr>
        <w:t>作业区</w:t>
      </w:r>
      <w:r>
        <w:rPr>
          <w:rFonts w:ascii="Times New Roman" w:hAnsi="Times New Roman" w:cs="Times New Roman"/>
          <w:bCs/>
          <w:kern w:val="0"/>
          <w:szCs w:val="21"/>
        </w:rPr>
        <w:t>、原材料库。 重点核查环节有：原材料进厂检验、性能试验、生产工艺控制、产品出厂试验、质量管理及测量设备量值溯源完成情况。公司领导层重视测量管理体系各项工作，结合公司制定的目标，按规定的内容和时间进行考核，年度质量目标完成情况较好。</w:t>
      </w:r>
      <w:r>
        <w:rPr>
          <w:rFonts w:hint="eastAsia" w:ascii="Times New Roman" w:hAnsi="Times New Roman" w:cs="Times New Roman"/>
          <w:bCs/>
          <w:kern w:val="0"/>
          <w:szCs w:val="21"/>
          <w:lang w:eastAsia="zh-CN"/>
        </w:rPr>
        <w:t>东营金丰正阳科技发展有限公司</w:t>
      </w:r>
      <w:r>
        <w:rPr>
          <w:rFonts w:ascii="Times New Roman" w:hAnsi="Times New Roman" w:cs="Times New Roman"/>
          <w:bCs/>
          <w:kern w:val="0"/>
          <w:szCs w:val="21"/>
        </w:rPr>
        <w:t>测量管理体系的符合性、有效性及持续改进，符合GB/T 19022-2003标准要求。公司测量管理体系正常有序运行，较好地满足了公司生产、安全和持续发展的需要，企业效益逐年提升。</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3.内部审核和管理评审的情况：</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3.1公司的测量体系内审：</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highlight w:val="none"/>
        </w:rPr>
        <w:t>公司于</w:t>
      </w:r>
      <w:r>
        <w:rPr>
          <w:rFonts w:hint="eastAsia" w:ascii="Times New Roman" w:hAnsi="Times New Roman" w:cs="Times New Roman"/>
          <w:bCs/>
          <w:kern w:val="0"/>
          <w:szCs w:val="21"/>
          <w:highlight w:val="none"/>
          <w:lang w:val="en-US" w:eastAsia="zh-CN"/>
        </w:rPr>
        <w:t>2021</w:t>
      </w:r>
      <w:r>
        <w:rPr>
          <w:rFonts w:ascii="Times New Roman" w:hAnsi="Times New Roman" w:cs="Times New Roman"/>
          <w:bCs/>
          <w:kern w:val="0"/>
          <w:szCs w:val="21"/>
          <w:highlight w:val="none"/>
        </w:rPr>
        <w:t>年</w:t>
      </w:r>
      <w:r>
        <w:rPr>
          <w:rFonts w:hint="eastAsia" w:ascii="Times New Roman" w:hAnsi="Times New Roman" w:cs="Times New Roman"/>
          <w:bCs/>
          <w:kern w:val="0"/>
          <w:szCs w:val="21"/>
          <w:highlight w:val="none"/>
          <w:lang w:val="en-US" w:eastAsia="zh-CN"/>
        </w:rPr>
        <w:t>1月6</w:t>
      </w:r>
      <w:r>
        <w:rPr>
          <w:rFonts w:ascii="Times New Roman" w:hAnsi="Times New Roman" w:cs="Times New Roman"/>
          <w:bCs/>
          <w:kern w:val="0"/>
          <w:szCs w:val="21"/>
          <w:highlight w:val="none"/>
        </w:rPr>
        <w:t>月，组织了公司测量管理体系内部审核。</w:t>
      </w:r>
      <w:r>
        <w:rPr>
          <w:rFonts w:hint="eastAsia" w:ascii="Times New Roman" w:hAnsi="Times New Roman" w:cs="Times New Roman"/>
          <w:bCs/>
          <w:kern w:val="0"/>
          <w:szCs w:val="21"/>
          <w:highlight w:val="none"/>
          <w:lang w:eastAsia="zh-CN"/>
        </w:rPr>
        <w:t>栾丽燕任</w:t>
      </w:r>
      <w:r>
        <w:rPr>
          <w:rFonts w:hint="eastAsia" w:ascii="宋体" w:hAnsi="宋体" w:cs="宋体"/>
          <w:bCs/>
          <w:kern w:val="0"/>
          <w:szCs w:val="21"/>
          <w:highlight w:val="none"/>
        </w:rPr>
        <w:t>组长</w:t>
      </w:r>
      <w:r>
        <w:rPr>
          <w:rFonts w:hint="eastAsia" w:ascii="宋体" w:hAnsi="宋体" w:cs="宋体"/>
          <w:bCs/>
          <w:kern w:val="0"/>
          <w:szCs w:val="21"/>
          <w:highlight w:val="none"/>
          <w:lang w:eastAsia="zh-CN"/>
        </w:rPr>
        <w:t>组织</w:t>
      </w:r>
      <w:r>
        <w:rPr>
          <w:rFonts w:hint="eastAsia" w:ascii="宋体" w:hAnsi="宋体" w:cs="宋体"/>
          <w:bCs/>
          <w:kern w:val="0"/>
          <w:szCs w:val="21"/>
          <w:highlight w:val="none"/>
        </w:rPr>
        <w:t>审核</w:t>
      </w:r>
      <w:r>
        <w:rPr>
          <w:rFonts w:hint="eastAsia" w:ascii="宋体" w:hAnsi="宋体" w:cs="宋体"/>
          <w:szCs w:val="21"/>
          <w:highlight w:val="none"/>
          <w:lang w:eastAsia="zh-CN"/>
        </w:rPr>
        <w:t>，</w:t>
      </w:r>
      <w:r>
        <w:rPr>
          <w:rFonts w:ascii="Times New Roman" w:hAnsi="Times New Roman" w:cs="Times New Roman"/>
          <w:bCs/>
          <w:kern w:val="0"/>
          <w:szCs w:val="21"/>
          <w:highlight w:val="none"/>
        </w:rPr>
        <w:t>内审分</w:t>
      </w:r>
      <w:r>
        <w:rPr>
          <w:rFonts w:hint="eastAsia" w:ascii="Times New Roman" w:hAnsi="Times New Roman" w:cs="Times New Roman"/>
          <w:bCs/>
          <w:kern w:val="0"/>
          <w:szCs w:val="21"/>
          <w:highlight w:val="none"/>
          <w:lang w:val="en-US" w:eastAsia="zh-CN"/>
        </w:rPr>
        <w:t>1</w:t>
      </w:r>
      <w:r>
        <w:rPr>
          <w:rFonts w:ascii="Times New Roman" w:hAnsi="Times New Roman" w:cs="Times New Roman"/>
          <w:bCs/>
          <w:kern w:val="0"/>
          <w:szCs w:val="21"/>
          <w:highlight w:val="none"/>
        </w:rPr>
        <w:t>个组，对公司</w:t>
      </w:r>
      <w:r>
        <w:rPr>
          <w:rFonts w:hint="eastAsia" w:ascii="Times New Roman" w:hAnsi="Times New Roman" w:cs="Times New Roman"/>
          <w:bCs/>
          <w:kern w:val="0"/>
          <w:szCs w:val="21"/>
          <w:highlight w:val="none"/>
          <w:lang w:val="en-US" w:eastAsia="zh-CN"/>
        </w:rPr>
        <w:t>3</w:t>
      </w:r>
      <w:r>
        <w:rPr>
          <w:rFonts w:ascii="Times New Roman" w:hAnsi="Times New Roman" w:cs="Times New Roman"/>
          <w:bCs/>
          <w:kern w:val="0"/>
          <w:szCs w:val="21"/>
          <w:highlight w:val="none"/>
        </w:rPr>
        <w:t>个职能部门及</w:t>
      </w:r>
      <w:r>
        <w:rPr>
          <w:rFonts w:hint="eastAsia" w:ascii="Times New Roman" w:hAnsi="Times New Roman" w:cs="Times New Roman"/>
          <w:bCs/>
          <w:kern w:val="0"/>
          <w:szCs w:val="21"/>
          <w:highlight w:val="none"/>
          <w:lang w:val="en-US" w:eastAsia="zh-CN"/>
        </w:rPr>
        <w:t>3个生产作业区</w:t>
      </w:r>
      <w:r>
        <w:rPr>
          <w:rFonts w:ascii="Times New Roman" w:hAnsi="Times New Roman" w:cs="Times New Roman"/>
          <w:bCs/>
          <w:kern w:val="0"/>
          <w:szCs w:val="21"/>
          <w:highlight w:val="none"/>
        </w:rPr>
        <w:t>进行了全要素的审核。企业内部审核发现</w:t>
      </w:r>
      <w:r>
        <w:rPr>
          <w:rFonts w:hint="eastAsia" w:ascii="Times New Roman" w:hAnsi="Times New Roman" w:cs="Times New Roman"/>
          <w:bCs/>
          <w:kern w:val="0"/>
          <w:szCs w:val="21"/>
          <w:highlight w:val="none"/>
          <w:lang w:val="en-US" w:eastAsia="zh-CN"/>
        </w:rPr>
        <w:t>1</w:t>
      </w:r>
      <w:r>
        <w:rPr>
          <w:rFonts w:ascii="Times New Roman" w:hAnsi="Times New Roman" w:cs="Times New Roman"/>
          <w:bCs/>
          <w:kern w:val="0"/>
          <w:szCs w:val="21"/>
          <w:highlight w:val="none"/>
        </w:rPr>
        <w:t>个符合项。企业及时制定了预防纠正措施，进行纠正整改工作。并在</w:t>
      </w:r>
      <w:r>
        <w:rPr>
          <w:rFonts w:hint="eastAsia" w:ascii="Times New Roman" w:hAnsi="Times New Roman" w:cs="Times New Roman"/>
          <w:bCs/>
          <w:kern w:val="0"/>
          <w:szCs w:val="21"/>
          <w:highlight w:val="none"/>
          <w:lang w:val="en-US" w:eastAsia="zh-CN"/>
        </w:rPr>
        <w:t>2021</w:t>
      </w:r>
      <w:r>
        <w:rPr>
          <w:rFonts w:ascii="Times New Roman" w:hAnsi="Times New Roman" w:cs="Times New Roman"/>
          <w:bCs/>
          <w:kern w:val="0"/>
          <w:szCs w:val="21"/>
          <w:highlight w:val="none"/>
        </w:rPr>
        <w:t>年</w:t>
      </w:r>
      <w:r>
        <w:rPr>
          <w:rFonts w:hint="eastAsia" w:ascii="Times New Roman" w:hAnsi="Times New Roman" w:cs="Times New Roman"/>
          <w:bCs/>
          <w:kern w:val="0"/>
          <w:szCs w:val="21"/>
          <w:highlight w:val="none"/>
          <w:lang w:val="en-US" w:eastAsia="zh-CN"/>
        </w:rPr>
        <w:t>1</w:t>
      </w:r>
      <w:r>
        <w:rPr>
          <w:rFonts w:ascii="Times New Roman" w:hAnsi="Times New Roman" w:cs="Times New Roman"/>
          <w:bCs/>
          <w:kern w:val="0"/>
          <w:szCs w:val="21"/>
          <w:highlight w:val="none"/>
        </w:rPr>
        <w:t>月</w:t>
      </w:r>
      <w:r>
        <w:rPr>
          <w:rFonts w:hint="eastAsia" w:ascii="Times New Roman" w:hAnsi="Times New Roman" w:cs="Times New Roman"/>
          <w:bCs/>
          <w:kern w:val="0"/>
          <w:szCs w:val="21"/>
          <w:highlight w:val="none"/>
          <w:lang w:val="en-US" w:eastAsia="zh-CN"/>
        </w:rPr>
        <w:t>9</w:t>
      </w:r>
      <w:r>
        <w:rPr>
          <w:rFonts w:ascii="Times New Roman" w:hAnsi="Times New Roman" w:cs="Times New Roman"/>
          <w:bCs/>
          <w:kern w:val="0"/>
          <w:szCs w:val="21"/>
          <w:highlight w:val="none"/>
        </w:rPr>
        <w:t>日，按其纠</w:t>
      </w:r>
      <w:r>
        <w:rPr>
          <w:rFonts w:ascii="Times New Roman" w:hAnsi="Times New Roman" w:cs="Times New Roman"/>
          <w:bCs/>
          <w:kern w:val="0"/>
          <w:szCs w:val="21"/>
        </w:rPr>
        <w:t>正措施已完成整改工作，</w:t>
      </w:r>
      <w:r>
        <w:rPr>
          <w:rFonts w:hint="eastAsia" w:ascii="Times New Roman" w:hAnsi="Times New Roman" w:cs="Times New Roman"/>
          <w:bCs/>
          <w:kern w:val="0"/>
          <w:szCs w:val="21"/>
          <w:lang w:val="en-US" w:eastAsia="zh-CN"/>
        </w:rPr>
        <w:t>1</w:t>
      </w:r>
      <w:r>
        <w:rPr>
          <w:rFonts w:ascii="Times New Roman" w:hAnsi="Times New Roman" w:cs="Times New Roman"/>
          <w:bCs/>
          <w:kern w:val="0"/>
          <w:szCs w:val="21"/>
        </w:rPr>
        <w:t>个不符合项已关闭。企业通过内审工作，对测量管理体系运行情况进行检查和审核，达到了发现问题及时解决问题的目的，收到了很好的效果。</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3.2、公司的测量体系管理评审：</w:t>
      </w:r>
    </w:p>
    <w:p>
      <w:pPr>
        <w:widowControl/>
        <w:spacing w:line="360" w:lineRule="auto"/>
        <w:ind w:firstLine="630" w:firstLineChars="300"/>
        <w:rPr>
          <w:rFonts w:ascii="Times New Roman" w:hAnsi="Times New Roman" w:cs="Times New Roman"/>
          <w:bCs/>
          <w:kern w:val="0"/>
          <w:szCs w:val="21"/>
        </w:rPr>
      </w:pPr>
      <w:r>
        <w:rPr>
          <w:rFonts w:ascii="Times New Roman" w:hAnsi="Times New Roman" w:cs="Times New Roman"/>
          <w:szCs w:val="21"/>
        </w:rPr>
        <w:t>公司于</w:t>
      </w:r>
      <w:r>
        <w:rPr>
          <w:rFonts w:hint="eastAsia" w:ascii="Times New Roman" w:hAnsi="Times New Roman" w:cs="Times New Roman"/>
          <w:szCs w:val="21"/>
          <w:lang w:val="en-US" w:eastAsia="zh-CN"/>
        </w:rPr>
        <w:t>2021</w:t>
      </w:r>
      <w:r>
        <w:rPr>
          <w:rFonts w:ascii="Times New Roman" w:hAnsi="Times New Roman" w:cs="Times New Roman"/>
          <w:szCs w:val="21"/>
          <w:highlight w:val="none"/>
        </w:rPr>
        <w:t>年</w:t>
      </w:r>
      <w:r>
        <w:rPr>
          <w:rFonts w:hint="eastAsia" w:ascii="Times New Roman" w:hAnsi="Times New Roman" w:cs="Times New Roman"/>
          <w:szCs w:val="21"/>
          <w:highlight w:val="none"/>
          <w:lang w:val="en-US" w:eastAsia="zh-CN"/>
        </w:rPr>
        <w:t>2</w:t>
      </w:r>
      <w:r>
        <w:rPr>
          <w:rFonts w:ascii="Times New Roman" w:hAnsi="Times New Roman" w:cs="Times New Roman"/>
          <w:szCs w:val="21"/>
          <w:highlight w:val="none"/>
        </w:rPr>
        <w:t>月</w:t>
      </w:r>
      <w:r>
        <w:rPr>
          <w:rFonts w:hint="eastAsia" w:ascii="Times New Roman" w:hAnsi="Times New Roman" w:cs="Times New Roman"/>
          <w:szCs w:val="21"/>
          <w:highlight w:val="none"/>
          <w:lang w:val="en-US" w:eastAsia="zh-CN"/>
        </w:rPr>
        <w:t>5</w:t>
      </w:r>
      <w:r>
        <w:rPr>
          <w:rFonts w:ascii="Times New Roman" w:hAnsi="Times New Roman" w:cs="Times New Roman"/>
          <w:szCs w:val="21"/>
          <w:highlight w:val="none"/>
        </w:rPr>
        <w:t>日，</w:t>
      </w:r>
      <w:r>
        <w:rPr>
          <w:rFonts w:ascii="Times New Roman" w:hAnsi="Times New Roman" w:cs="Times New Roman"/>
          <w:szCs w:val="21"/>
        </w:rPr>
        <w:t>开展了测量体系管理评审，会议由公司总经理</w:t>
      </w:r>
      <w:r>
        <w:rPr>
          <w:rFonts w:hint="eastAsia" w:ascii="Times New Roman" w:hAnsi="Times New Roman" w:cs="Times New Roman"/>
          <w:szCs w:val="21"/>
          <w:lang w:eastAsia="zh-CN"/>
        </w:rPr>
        <w:t>张福芬</w:t>
      </w:r>
      <w:r>
        <w:rPr>
          <w:rFonts w:hint="eastAsia"/>
          <w:bCs/>
          <w:szCs w:val="21"/>
        </w:rPr>
        <w:t>主持</w:t>
      </w:r>
      <w:r>
        <w:rPr>
          <w:rFonts w:hint="eastAsia"/>
          <w:bCs/>
          <w:szCs w:val="21"/>
          <w:lang w:eastAsia="zh-CN"/>
        </w:rPr>
        <w:t>，并</w:t>
      </w:r>
      <w:r>
        <w:rPr>
          <w:rFonts w:ascii="Times New Roman" w:hAnsi="Times New Roman" w:cs="Times New Roman"/>
          <w:szCs w:val="21"/>
        </w:rPr>
        <w:t>汇报了体系运行情况。会议肯定了公司测量管理体系运行的充分性、有效性和适宜性。对公司测量管理体系目前存在的测量体系管理目标完成情况、产品进厂检验等管理方面的问题，提出了改进建议。</w:t>
      </w:r>
      <w:r>
        <w:rPr>
          <w:rFonts w:ascii="Times New Roman" w:hAnsi="Times New Roman" w:cs="Times New Roman"/>
          <w:bCs/>
          <w:kern w:val="0"/>
          <w:szCs w:val="21"/>
        </w:rPr>
        <w:t>会议对公司内审和体系运行过程中发现的问题，验证制定纠正、预防措施落实和完成情况，提出评审报告。管理评审结论为：公司测量管理体系有效运行，符合GB/T 19022-2003标准要求。</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4.为持续改进而策划的活动的进展 ，包括：</w:t>
      </w:r>
    </w:p>
    <w:p>
      <w:pPr>
        <w:adjustRightInd w:val="0"/>
        <w:snapToGrid w:val="0"/>
        <w:spacing w:line="360" w:lineRule="auto"/>
        <w:rPr>
          <w:rFonts w:ascii="Times New Roman" w:hAnsi="Times New Roman" w:cs="Times New Roman"/>
          <w:bCs/>
          <w:kern w:val="0"/>
          <w:szCs w:val="21"/>
        </w:rPr>
      </w:pPr>
      <w:r>
        <w:rPr>
          <w:rFonts w:ascii="Times New Roman" w:hAnsi="Times New Roman" w:cs="Times New Roman"/>
          <w:bCs/>
          <w:kern w:val="0"/>
          <w:szCs w:val="21"/>
        </w:rPr>
        <w:t>4.1、该企业</w:t>
      </w:r>
      <w:r>
        <w:rPr>
          <w:rFonts w:hint="eastAsia" w:ascii="Times New Roman" w:hAnsi="Times New Roman" w:cs="Times New Roman"/>
          <w:bCs/>
          <w:kern w:val="0"/>
          <w:szCs w:val="21"/>
          <w:lang w:eastAsia="zh-CN"/>
        </w:rPr>
        <w:t>主要产品：</w:t>
      </w:r>
      <w:bookmarkStart w:id="3" w:name="审核范围"/>
      <w:r>
        <w:rPr>
          <w:rFonts w:hint="eastAsia" w:ascii="宋体" w:hAnsi="宋体"/>
          <w:color w:val="auto"/>
          <w:sz w:val="21"/>
          <w:szCs w:val="21"/>
        </w:rPr>
        <w:t>风光互补供电系统（太阳能发电装置、风能太阳能发电装置）、仪器仪表（含实验室仪器设备、石油专用仪器仪表）</w:t>
      </w:r>
      <w:bookmarkEnd w:id="3"/>
      <w:r>
        <w:rPr>
          <w:rFonts w:hint="eastAsia" w:ascii="宋体" w:hAnsi="宋体"/>
          <w:color w:val="auto"/>
          <w:sz w:val="21"/>
          <w:szCs w:val="21"/>
        </w:rPr>
        <w:t>组装生产，高低压成套电气设备组装生产（需资质的凭资质），金属制品（刺绳、刺网、筛网、标牌、围栏、护栏）组装生产，帆布帐篷、编织袋加工，活动板房设计、销售，医疗器械（含医用口罩、医用防护服、温度计、医用测温枪、医用防护目镜、医用一次性手套）、消杀用品、照明设备（灯具）、桥架、工矿设备、工矿配件（含球磨机配件、风机配件、制冷设备配件、起重输送机械配件、液压件、离心泵配件、转子泵配件、往复泵配件、工业锅炉及辅助配件、减速机配件、其他泵配件）、家俱、门窗、机械设备及配件（含烟气轮机配件，不含特种设备）、计算机软、硬件、耗材及辅助设备、钻采配件、轻纺织品、五金工具、机电设备、化工产品（不含危险品及易制毒化学品）、电器、仪器仪表（含智能流量计）、通讯器材（不含地面卫星接收及无线发射装置）、环保节能设备、电力设备、日用百货、阀门、钢材、救生物资、土产杂品（不含烟花爆竹）、干电池、蓄电池、低压电器、建筑五金、电线电缆及附件、防爆电伴热带、网络设备（含网络机柜）、电子产品、无人机、摄像器材、安防器材、自控系统设备及配件、防雷设备、钻井设备及配件、船舶设备及配件、实验装置及配件、水处理设备、电动升降平台、防爆电器及配件、计量装置、加药装置、仪表柜、风能、电能及光能设备、UPS电源、汽车配件、柴油机配件（含船用）、电力金具、电工电料、绝缘材料、电气元器件、消防器材、毛毡、户外用品、劳保用品、陶瓷制品、玻璃钢制品、卫生洁具、玻璃制品、保温制品、橡胶制品（不含医用）、塑料制品（不含医用，含PE制品、PPR制品、PVC制品）、吸油毡、围油栏、PVC管材、PPR管材、金属材料、密封材料、防腐保温材料（金属面绝热夹芯板、玻璃棉毡、钛陶瓷保温管）、防水材料、装饰材料（含地板、瓷砖）、包装材料（含岩芯箱）、建筑材料（含混凝土制品、彩钢板、吸音板、隔音板、砖、砌块及砂石料、石灰）、滤料、非织造布、帆布、绳、索、缆、文体用品（不含书籍）、体育器材销售（需资质的凭资质），计算机应用软件开发（需资质的除外）</w:t>
      </w:r>
      <w:r>
        <w:rPr>
          <w:rFonts w:hint="eastAsia" w:ascii="宋体" w:hAnsi="宋体"/>
          <w:szCs w:val="21"/>
          <w:lang w:eastAsia="zh-CN"/>
        </w:rPr>
        <w:t>。生产部（质量、技术）</w:t>
      </w:r>
      <w:r>
        <w:rPr>
          <w:rFonts w:ascii="Times New Roman" w:hAnsi="Times New Roman" w:cs="Times New Roman"/>
          <w:bCs/>
          <w:kern w:val="0"/>
          <w:szCs w:val="21"/>
        </w:rPr>
        <w:t>已组织识别</w:t>
      </w:r>
      <w:r>
        <w:rPr>
          <w:rFonts w:hint="eastAsia" w:ascii="Times New Roman" w:hAnsi="Times New Roman" w:cs="Times New Roman"/>
          <w:bCs/>
          <w:kern w:val="0"/>
          <w:szCs w:val="21"/>
          <w:lang w:eastAsia="zh-CN"/>
        </w:rPr>
        <w:t>，</w:t>
      </w:r>
      <w:r>
        <w:rPr>
          <w:rFonts w:hint="eastAsia" w:ascii="宋体" w:hAnsi="宋体" w:cs="宋体"/>
          <w:bCs/>
          <w:kern w:val="0"/>
          <w:szCs w:val="21"/>
        </w:rPr>
        <w:t>共识</w:t>
      </w:r>
      <w:r>
        <w:rPr>
          <w:rFonts w:hint="eastAsia" w:ascii="宋体" w:hAnsi="宋体" w:cs="宋体"/>
          <w:bCs/>
          <w:kern w:val="0"/>
          <w:szCs w:val="21"/>
          <w:highlight w:val="none"/>
        </w:rPr>
        <w:t>别</w:t>
      </w:r>
      <w:r>
        <w:rPr>
          <w:rFonts w:hint="eastAsia" w:ascii="宋体" w:hAnsi="宋体"/>
          <w:bCs/>
          <w:szCs w:val="21"/>
          <w:lang w:val="en-US" w:eastAsia="zh-CN"/>
        </w:rPr>
        <w:t>风光互补发光装置的耐压测试、</w:t>
      </w:r>
      <w:r>
        <w:rPr>
          <w:rFonts w:ascii="Times New Roman" w:hAnsi="Times New Roman"/>
          <w:szCs w:val="21"/>
        </w:rPr>
        <w:t>接地电阻测试过程</w:t>
      </w:r>
      <w:r>
        <w:rPr>
          <w:rFonts w:hint="eastAsia" w:ascii="宋体" w:hAnsi="宋体" w:cs="宋体"/>
          <w:kern w:val="0"/>
          <w:szCs w:val="21"/>
          <w:shd w:val="clear" w:color="auto" w:fill="auto"/>
        </w:rPr>
        <w:t>测量过程</w:t>
      </w:r>
      <w:r>
        <w:rPr>
          <w:rFonts w:hint="eastAsia" w:ascii="宋体" w:hAnsi="宋体" w:cs="宋体"/>
          <w:kern w:val="0"/>
          <w:szCs w:val="21"/>
          <w:lang w:eastAsia="zh-CN"/>
        </w:rPr>
        <w:t>、</w:t>
      </w:r>
      <w:r>
        <w:rPr>
          <w:rFonts w:hint="eastAsia" w:ascii="宋体" w:hAnsi="宋体" w:cs="宋体"/>
          <w:kern w:val="0"/>
          <w:szCs w:val="21"/>
          <w:shd w:val="clear" w:color="auto" w:fill="auto"/>
          <w:lang w:val="en-US" w:eastAsia="zh-CN"/>
        </w:rPr>
        <w:t>等2个关键测量过程</w:t>
      </w:r>
      <w:r>
        <w:rPr>
          <w:rFonts w:ascii="Times New Roman" w:hAnsi="Times New Roman" w:cs="Times New Roman"/>
          <w:bCs/>
          <w:kern w:val="0"/>
          <w:szCs w:val="21"/>
        </w:rPr>
        <w:t>，分别对每个不同大类的测量过程的测量要素从重要性、被测参数名称、技术要求、配备的测量设备名称、测量范围、允许误差（测量不确定度）、环境条件、操作人员资质、测量频次、监视方法等方面，予以有效控制和识别。配备的测量设备经过计量验证，对测量过程的控制和监视，满足顾客的计量要求。</w:t>
      </w:r>
    </w:p>
    <w:p>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4.2、检查了企业的测量设备《计量确认明细表》，对</w:t>
      </w:r>
      <w:r>
        <w:rPr>
          <w:rFonts w:hint="eastAsia" w:ascii="Times New Roman" w:hAnsi="Times New Roman" w:cs="Times New Roman"/>
          <w:bCs/>
          <w:kern w:val="0"/>
          <w:szCs w:val="21"/>
          <w:lang w:val="en-US" w:eastAsia="zh-CN"/>
        </w:rPr>
        <w:t>25</w:t>
      </w:r>
      <w:r>
        <w:rPr>
          <w:rFonts w:ascii="Times New Roman" w:hAnsi="Times New Roman" w:cs="Times New Roman"/>
          <w:bCs/>
          <w:kern w:val="0"/>
          <w:szCs w:val="21"/>
        </w:rPr>
        <w:t>台件测量设备中的重要及关键的测量设备进行了计量确认。有测量参数的技术要求，测量设备的计量特性，以及验证方法、验证结果和验证人。最近的检定日期全部在有效期内，验证结果均为合格。涉及关键测量过程</w:t>
      </w:r>
      <w:r>
        <w:rPr>
          <w:rFonts w:hint="eastAsia" w:ascii="宋体" w:hAnsi="宋体"/>
          <w:color w:val="auto"/>
          <w:sz w:val="21"/>
          <w:szCs w:val="21"/>
        </w:rPr>
        <w:t>的</w:t>
      </w:r>
      <w:r>
        <w:rPr>
          <w:rFonts w:hint="eastAsia" w:ascii="宋体" w:hAnsi="宋体"/>
          <w:bCs/>
          <w:szCs w:val="21"/>
          <w:lang w:val="en-US" w:eastAsia="zh-CN"/>
        </w:rPr>
        <w:t>风光互补发光装置的耐压试验、</w:t>
      </w:r>
      <w:r>
        <w:rPr>
          <w:rFonts w:ascii="Times New Roman" w:hAnsi="Times New Roman"/>
          <w:szCs w:val="21"/>
        </w:rPr>
        <w:t>接地电阻测试</w:t>
      </w:r>
      <w:r>
        <w:rPr>
          <w:rFonts w:hint="eastAsia" w:ascii="宋体" w:hAnsi="宋体" w:cs="宋体"/>
          <w:kern w:val="0"/>
          <w:szCs w:val="21"/>
          <w:shd w:val="clear" w:color="auto" w:fill="auto"/>
        </w:rPr>
        <w:t>测量过程</w:t>
      </w:r>
      <w:r>
        <w:rPr>
          <w:rFonts w:hint="eastAsia" w:ascii="宋体" w:hAnsi="宋体" w:cs="宋体"/>
          <w:kern w:val="0"/>
          <w:szCs w:val="21"/>
          <w:shd w:val="clear" w:color="auto" w:fill="auto"/>
          <w:lang w:eastAsia="zh-CN"/>
        </w:rPr>
        <w:t>。</w:t>
      </w:r>
      <w:r>
        <w:rPr>
          <w:rFonts w:hint="eastAsia" w:ascii="宋体" w:hAnsi="宋体"/>
          <w:bCs/>
          <w:szCs w:val="21"/>
          <w:lang w:val="en-US" w:eastAsia="zh-CN"/>
        </w:rPr>
        <w:t>风光互补发光装置的耐压试验</w:t>
      </w:r>
      <w:r>
        <w:rPr>
          <w:rFonts w:ascii="Times New Roman" w:hAnsi="Times New Roman" w:cs="Times New Roman"/>
          <w:bCs/>
          <w:kern w:val="0"/>
          <w:szCs w:val="21"/>
        </w:rPr>
        <w:t>测量过程，计量性能测试、监视记录、监视控制图，均已按测量过程控制规范，进行了有效性监视和记录统计。监视控制图齐全完整。</w:t>
      </w:r>
    </w:p>
    <w:p>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4.3. 企业增加</w:t>
      </w:r>
      <w:r>
        <w:rPr>
          <w:rFonts w:hint="eastAsia" w:ascii="Times New Roman" w:hAnsi="Times New Roman" w:cs="Times New Roman"/>
          <w:bCs/>
          <w:kern w:val="0"/>
          <w:szCs w:val="21"/>
          <w:lang w:eastAsia="zh-CN"/>
        </w:rPr>
        <w:t>一个</w:t>
      </w:r>
      <w:r>
        <w:rPr>
          <w:rFonts w:ascii="Times New Roman" w:hAnsi="Times New Roman" w:cs="Times New Roman"/>
          <w:bCs/>
          <w:kern w:val="0"/>
          <w:szCs w:val="21"/>
        </w:rPr>
        <w:t>关键测量过程。</w:t>
      </w:r>
      <w:r>
        <w:rPr>
          <w:rFonts w:hint="eastAsia" w:ascii="Times New Roman" w:hAnsi="Times New Roman" w:cs="Times New Roman"/>
          <w:bCs/>
          <w:kern w:val="0"/>
          <w:szCs w:val="21"/>
          <w:lang w:eastAsia="zh-CN"/>
        </w:rPr>
        <w:t>查</w:t>
      </w:r>
      <w:r>
        <w:rPr>
          <w:rFonts w:ascii="Times New Roman" w:hAnsi="Times New Roman" w:cs="Times New Roman"/>
          <w:bCs/>
          <w:kern w:val="0"/>
          <w:szCs w:val="21"/>
        </w:rPr>
        <w:t>《</w:t>
      </w:r>
      <w:r>
        <w:rPr>
          <w:rFonts w:hint="eastAsia" w:ascii="宋体" w:hAnsi="宋体"/>
          <w:bCs/>
          <w:szCs w:val="21"/>
          <w:lang w:val="en-US" w:eastAsia="zh-CN"/>
        </w:rPr>
        <w:t>风光互补发光装置的耐压试验</w:t>
      </w:r>
      <w:r>
        <w:rPr>
          <w:rFonts w:ascii="Times New Roman" w:hAnsi="Times New Roman" w:cs="Times New Roman"/>
          <w:bCs/>
          <w:kern w:val="0"/>
          <w:szCs w:val="21"/>
        </w:rPr>
        <w:t>测量过程》，计量要求导出和计量验证记录表填写规范，计量要求导出方法正确；测量设备的配备满足计量要求，测量设备经过检定校准，测量设备验证方法正确。</w:t>
      </w:r>
    </w:p>
    <w:p>
      <w:pPr>
        <w:widowControl/>
        <w:spacing w:line="360" w:lineRule="auto"/>
        <w:rPr>
          <w:rFonts w:ascii="Times New Roman" w:hAnsi="Times New Roman" w:cs="Times New Roman"/>
          <w:bCs/>
          <w:kern w:val="0"/>
          <w:sz w:val="21"/>
          <w:szCs w:val="21"/>
        </w:rPr>
      </w:pPr>
      <w:r>
        <w:rPr>
          <w:rFonts w:ascii="Times New Roman" w:hAnsi="Times New Roman" w:cs="Times New Roman"/>
          <w:bCs/>
          <w:kern w:val="0"/>
          <w:szCs w:val="21"/>
        </w:rPr>
        <w:t>4.4、查</w:t>
      </w:r>
      <w:r>
        <w:rPr>
          <w:rFonts w:ascii="Times New Roman" w:hAnsi="Times New Roman" w:cs="Times New Roman"/>
          <w:bCs/>
          <w:kern w:val="0"/>
          <w:sz w:val="21"/>
          <w:szCs w:val="21"/>
        </w:rPr>
        <w:t>《</w:t>
      </w:r>
      <w:r>
        <w:rPr>
          <w:rFonts w:hint="eastAsia" w:ascii="宋体" w:hAnsi="宋体"/>
          <w:bCs/>
          <w:szCs w:val="21"/>
          <w:lang w:val="en-US" w:eastAsia="zh-CN"/>
        </w:rPr>
        <w:t>风光互补发光装置的耐压试验</w:t>
      </w:r>
      <w:r>
        <w:rPr>
          <w:rFonts w:ascii="Times New Roman" w:hAnsi="Times New Roman" w:cs="Times New Roman"/>
          <w:bCs/>
          <w:kern w:val="0"/>
          <w:sz w:val="21"/>
          <w:szCs w:val="21"/>
        </w:rPr>
        <w:t>测量不确定度评定》，方法和结果正确；</w:t>
      </w:r>
    </w:p>
    <w:p>
      <w:pPr>
        <w:widowControl/>
        <w:spacing w:line="360" w:lineRule="auto"/>
        <w:rPr>
          <w:rFonts w:ascii="Times New Roman" w:hAnsi="Times New Roman" w:cs="Times New Roman"/>
          <w:bCs/>
          <w:kern w:val="0"/>
          <w:szCs w:val="21"/>
        </w:rPr>
      </w:pPr>
      <w:r>
        <w:rPr>
          <w:rFonts w:ascii="Times New Roman" w:hAnsi="Times New Roman" w:cs="Times New Roman"/>
          <w:bCs/>
          <w:kern w:val="0"/>
          <w:sz w:val="21"/>
          <w:szCs w:val="21"/>
        </w:rPr>
        <w:t>4.5、查《</w:t>
      </w:r>
      <w:r>
        <w:rPr>
          <w:rFonts w:hint="eastAsia" w:ascii="宋体" w:hAnsi="宋体"/>
          <w:bCs/>
          <w:szCs w:val="21"/>
          <w:lang w:val="en-US" w:eastAsia="zh-CN"/>
        </w:rPr>
        <w:t>风光互补发光装置的耐压试验</w:t>
      </w:r>
      <w:r>
        <w:rPr>
          <w:rFonts w:ascii="Times New Roman" w:hAnsi="Times New Roman" w:cs="Times New Roman"/>
          <w:bCs/>
          <w:kern w:val="0"/>
          <w:sz w:val="21"/>
          <w:szCs w:val="21"/>
        </w:rPr>
        <w:t>计量要求导出和计</w:t>
      </w:r>
      <w:r>
        <w:rPr>
          <w:rFonts w:ascii="Times New Roman" w:hAnsi="Times New Roman" w:cs="Times New Roman"/>
          <w:bCs/>
          <w:kern w:val="0"/>
          <w:szCs w:val="21"/>
        </w:rPr>
        <w:t>量验证记录表》，信息内容完整、正确。</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5.对</w:t>
      </w:r>
      <w:r>
        <w:rPr>
          <w:rFonts w:hint="eastAsia" w:ascii="Times New Roman" w:hAnsi="Times New Roman" w:cs="Times New Roman"/>
          <w:b/>
          <w:bCs/>
          <w:kern w:val="0"/>
          <w:szCs w:val="21"/>
          <w:lang w:eastAsia="zh-CN"/>
        </w:rPr>
        <w:t>上年认证</w:t>
      </w:r>
      <w:r>
        <w:rPr>
          <w:rFonts w:ascii="Times New Roman" w:hAnsi="Times New Roman" w:cs="Times New Roman"/>
          <w:b/>
          <w:bCs/>
          <w:kern w:val="0"/>
          <w:szCs w:val="21"/>
        </w:rPr>
        <w:t xml:space="preserve">审核时提出的的不符合项的纠正措施情况： </w:t>
      </w:r>
    </w:p>
    <w:p>
      <w:pPr>
        <w:widowControl/>
        <w:spacing w:line="360" w:lineRule="auto"/>
        <w:ind w:firstLine="420" w:firstLineChars="200"/>
        <w:rPr>
          <w:rFonts w:ascii="Times New Roman" w:hAnsi="Times New Roman" w:cs="Times New Roman"/>
          <w:szCs w:val="21"/>
        </w:rPr>
      </w:pPr>
      <w:bookmarkStart w:id="5" w:name="_GoBack"/>
      <w:r>
        <w:rPr>
          <w:rFonts w:ascii="Times New Roman" w:hAnsi="Times New Roman" w:cs="Times New Roman"/>
          <w:bCs/>
          <w:kern w:val="0"/>
          <w:szCs w:val="21"/>
        </w:rPr>
        <w:t>公司</w:t>
      </w:r>
      <w:r>
        <w:rPr>
          <w:rFonts w:ascii="Times New Roman" w:hAnsi="Times New Roman" w:cs="Times New Roman"/>
          <w:szCs w:val="21"/>
        </w:rPr>
        <w:t>对测量管理体系</w:t>
      </w:r>
      <w:r>
        <w:rPr>
          <w:rFonts w:hint="eastAsia" w:ascii="Times New Roman" w:hAnsi="Times New Roman" w:cs="Times New Roman"/>
          <w:szCs w:val="21"/>
          <w:lang w:eastAsia="zh-CN"/>
        </w:rPr>
        <w:t>认证</w:t>
      </w:r>
      <w:r>
        <w:rPr>
          <w:rFonts w:ascii="Times New Roman" w:hAnsi="Times New Roman" w:cs="Times New Roman"/>
          <w:szCs w:val="21"/>
        </w:rPr>
        <w:t>审核发现的</w:t>
      </w:r>
      <w:r>
        <w:rPr>
          <w:rFonts w:hint="eastAsia" w:ascii="Times New Roman" w:hAnsi="Times New Roman" w:cs="Times New Roman"/>
          <w:szCs w:val="21"/>
          <w:lang w:val="en-US" w:eastAsia="zh-CN"/>
        </w:rPr>
        <w:t>1</w:t>
      </w:r>
      <w:r>
        <w:rPr>
          <w:rFonts w:ascii="Times New Roman" w:hAnsi="Times New Roman" w:cs="Times New Roman"/>
          <w:szCs w:val="21"/>
        </w:rPr>
        <w:t>个不符合项，制定了预防纠正措施，并按其纠正措施进行了整改工作。</w:t>
      </w:r>
      <w:r>
        <w:rPr>
          <w:rFonts w:hint="eastAsia" w:ascii="Times New Roman" w:hAnsi="Times New Roman" w:cs="Times New Roman"/>
          <w:szCs w:val="21"/>
          <w:lang w:eastAsia="zh-CN"/>
        </w:rPr>
        <w:t>“</w:t>
      </w:r>
      <w:r>
        <w:rPr>
          <w:rFonts w:hint="eastAsia" w:ascii="宋体" w:hAnsi="宋体" w:eastAsia="宋体" w:cs="宋体"/>
          <w:b w:val="0"/>
          <w:bCs w:val="0"/>
          <w:color w:val="auto"/>
          <w:sz w:val="21"/>
          <w:szCs w:val="21"/>
          <w:highlight w:val="none"/>
          <w:lang w:eastAsia="zh-CN"/>
        </w:rPr>
        <w:t>企业提供的</w:t>
      </w:r>
      <w:r>
        <w:rPr>
          <w:rFonts w:hint="eastAsia" w:ascii="宋体" w:hAnsi="宋体" w:eastAsia="宋体" w:cs="宋体"/>
          <w:b w:val="0"/>
          <w:bCs w:val="0"/>
          <w:color w:val="auto"/>
          <w:sz w:val="21"/>
          <w:szCs w:val="21"/>
        </w:rPr>
        <w:t>Q/JFZY-JY-（001～004）-2015</w:t>
      </w:r>
      <w:r>
        <w:rPr>
          <w:rFonts w:hint="eastAsia" w:ascii="宋体" w:hAnsi="宋体" w:eastAsia="宋体" w:cs="宋体"/>
          <w:b w:val="0"/>
          <w:bCs w:val="0"/>
          <w:color w:val="auto"/>
          <w:spacing w:val="40"/>
          <w:sz w:val="21"/>
          <w:szCs w:val="21"/>
        </w:rPr>
        <w:t>检验规范汇编</w:t>
      </w:r>
      <w:r>
        <w:rPr>
          <w:rFonts w:hint="eastAsia" w:ascii="宋体" w:hAnsi="宋体" w:eastAsia="宋体" w:cs="宋体"/>
          <w:b w:val="0"/>
          <w:bCs w:val="0"/>
          <w:color w:val="auto"/>
          <w:spacing w:val="40"/>
          <w:sz w:val="21"/>
          <w:szCs w:val="21"/>
          <w:lang w:eastAsia="zh-CN"/>
        </w:rPr>
        <w:t>中使用标准GB</w:t>
      </w:r>
      <w:r>
        <w:rPr>
          <w:rFonts w:hint="eastAsia" w:ascii="宋体" w:hAnsi="宋体" w:eastAsia="宋体" w:cs="宋体"/>
          <w:b w:val="0"/>
          <w:bCs w:val="0"/>
          <w:color w:val="auto"/>
          <w:spacing w:val="40"/>
          <w:sz w:val="21"/>
          <w:szCs w:val="21"/>
          <w:lang w:val="en-US" w:eastAsia="zh-CN"/>
        </w:rPr>
        <w:t>/T</w:t>
      </w:r>
      <w:r>
        <w:rPr>
          <w:rFonts w:hint="eastAsia" w:ascii="宋体" w:hAnsi="宋体" w:eastAsia="宋体" w:cs="宋体"/>
          <w:b w:val="0"/>
          <w:bCs w:val="0"/>
          <w:color w:val="auto"/>
          <w:spacing w:val="40"/>
          <w:sz w:val="21"/>
          <w:szCs w:val="21"/>
          <w:lang w:eastAsia="zh-CN"/>
        </w:rPr>
        <w:t>1207-97</w:t>
      </w:r>
      <w:r>
        <w:rPr>
          <w:rFonts w:hint="eastAsia" w:ascii="宋体" w:hAnsi="宋体" w:cs="宋体"/>
          <w:color w:val="auto"/>
          <w:kern w:val="0"/>
          <w:szCs w:val="21"/>
        </w:rPr>
        <w:t>《</w:t>
      </w:r>
      <w:r>
        <w:rPr>
          <w:rFonts w:hint="eastAsia" w:ascii="宋体" w:hAnsi="宋体" w:cs="宋体"/>
          <w:color w:val="auto"/>
          <w:kern w:val="0"/>
          <w:szCs w:val="21"/>
          <w:lang w:eastAsia="zh-CN"/>
        </w:rPr>
        <w:t>电压互感器</w:t>
      </w:r>
      <w:r>
        <w:rPr>
          <w:rFonts w:hint="eastAsia" w:ascii="宋体" w:hAnsi="宋体" w:cs="宋体"/>
          <w:color w:val="auto"/>
          <w:kern w:val="0"/>
          <w:szCs w:val="21"/>
        </w:rPr>
        <w:t>》</w:t>
      </w:r>
      <w:r>
        <w:rPr>
          <w:rFonts w:hint="eastAsia" w:ascii="宋体" w:hAnsi="宋体" w:cs="宋体"/>
          <w:color w:val="auto"/>
          <w:kern w:val="0"/>
          <w:szCs w:val="21"/>
          <w:lang w:eastAsia="zh-CN"/>
        </w:rPr>
        <w:t>版本作废，</w:t>
      </w:r>
      <w:r>
        <w:rPr>
          <w:rFonts w:hint="eastAsia" w:ascii="宋体" w:hAnsi="宋体"/>
          <w:bCs/>
          <w:sz w:val="21"/>
          <w:szCs w:val="21"/>
          <w:highlight w:val="none"/>
          <w:lang w:val="en-US" w:eastAsia="zh-CN"/>
        </w:rPr>
        <w:t>”</w:t>
      </w:r>
      <w:r>
        <w:rPr>
          <w:rFonts w:ascii="Times New Roman" w:hAnsi="Times New Roman" w:cs="Times New Roman"/>
          <w:szCs w:val="21"/>
          <w:highlight w:val="none"/>
        </w:rPr>
        <w:t>经审核组</w:t>
      </w:r>
      <w:r>
        <w:rPr>
          <w:rFonts w:hint="eastAsia" w:ascii="Times New Roman" w:hAnsi="Times New Roman" w:cs="Times New Roman"/>
          <w:szCs w:val="21"/>
          <w:highlight w:val="none"/>
          <w:lang w:eastAsia="zh-CN"/>
        </w:rPr>
        <w:t>现场</w:t>
      </w:r>
      <w:r>
        <w:rPr>
          <w:rFonts w:ascii="Times New Roman" w:hAnsi="Times New Roman" w:cs="Times New Roman"/>
          <w:szCs w:val="21"/>
          <w:highlight w:val="none"/>
        </w:rPr>
        <w:t>审核，确认企业制定的不合格控制实施可控有效，纠正措施完成情况满足标准要求</w:t>
      </w:r>
      <w:r>
        <w:rPr>
          <w:rFonts w:ascii="Times New Roman" w:hAnsi="Times New Roman" w:cs="Times New Roman"/>
          <w:szCs w:val="21"/>
        </w:rPr>
        <w:t>，同意关闭不符合项</w:t>
      </w:r>
      <w:bookmarkEnd w:id="5"/>
      <w:r>
        <w:rPr>
          <w:rFonts w:ascii="Times New Roman" w:hAnsi="Times New Roman" w:cs="Times New Roman"/>
          <w:szCs w:val="21"/>
        </w:rPr>
        <w:t>。</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6.对投诉的处理情况：</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公司目前尚未接到客户在产品质量、物料交接、安全、现场管理等方面的投诉和纠纷。</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7.测量管理体系在实现获证客户目标方面的有效性及持续的运作控制情况：</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公司《测量管理体系管理手册》，规定了公司的计量方针及</w:t>
      </w:r>
      <w:r>
        <w:rPr>
          <w:rFonts w:hint="eastAsia" w:ascii="Times New Roman" w:hAnsi="Times New Roman" w:cs="Times New Roman"/>
          <w:bCs/>
          <w:kern w:val="0"/>
          <w:szCs w:val="21"/>
          <w:lang w:val="en-US" w:eastAsia="zh-CN"/>
        </w:rPr>
        <w:t>5</w:t>
      </w:r>
      <w:r>
        <w:rPr>
          <w:rFonts w:ascii="Times New Roman" w:hAnsi="Times New Roman" w:cs="Times New Roman"/>
          <w:bCs/>
          <w:kern w:val="0"/>
          <w:szCs w:val="21"/>
        </w:rPr>
        <w:t>项质量目标 ，是管理体系追求的承诺和准则，内容基本覆盖标准要素。公司对本年度质量目标分解进行完善和改进，进一步满足顾客、质量、服务等方面的要求，使其符合GB/T 19022-2003标准要求，使其更具有动态性和适应性、有效性及对持续运作的控制。</w:t>
      </w:r>
    </w:p>
    <w:p>
      <w:pPr>
        <w:widowControl/>
        <w:numPr>
          <w:ilvl w:val="0"/>
          <w:numId w:val="1"/>
        </w:numPr>
        <w:spacing w:line="360" w:lineRule="auto"/>
        <w:ind w:firstLine="422" w:firstLineChars="200"/>
        <w:jc w:val="left"/>
        <w:rPr>
          <w:rFonts w:ascii="Times New Roman" w:hAnsi="Times New Roman" w:cs="Times New Roman"/>
          <w:b/>
          <w:bCs/>
          <w:kern w:val="0"/>
          <w:szCs w:val="21"/>
        </w:rPr>
      </w:pPr>
      <w:r>
        <w:rPr>
          <w:rFonts w:ascii="Times New Roman" w:hAnsi="Times New Roman" w:cs="Times New Roman"/>
          <w:b/>
          <w:bCs/>
          <w:kern w:val="0"/>
          <w:szCs w:val="21"/>
        </w:rPr>
        <w:t>对企业组织任何变更的审核：</w:t>
      </w:r>
    </w:p>
    <w:p>
      <w:pPr>
        <w:pStyle w:val="2"/>
        <w:keepNext w:val="0"/>
        <w:keepLines w:val="0"/>
        <w:widowControl/>
        <w:suppressLineNumbers w:val="0"/>
        <w:shd w:val="clear" w:fill="FFFFFF"/>
        <w:spacing w:line="360" w:lineRule="auto"/>
        <w:ind w:left="0" w:firstLine="0"/>
        <w:rPr>
          <w:rFonts w:hint="eastAsia" w:ascii="宋体" w:hAnsi="宋体" w:eastAsia="宋体" w:cs="宋体"/>
          <w:b w:val="0"/>
          <w:bCs w:val="0"/>
          <w:kern w:val="0"/>
          <w:sz w:val="21"/>
          <w:szCs w:val="21"/>
        </w:rPr>
      </w:pPr>
      <w:r>
        <w:rPr>
          <w:rFonts w:hint="eastAsia" w:ascii="宋体" w:hAnsi="宋体"/>
          <w:bCs/>
          <w:szCs w:val="21"/>
          <w:lang w:val="en-US" w:eastAsia="zh-CN"/>
        </w:rPr>
        <w:t xml:space="preserve">  </w:t>
      </w:r>
      <w:r>
        <w:rPr>
          <w:rFonts w:hint="eastAsia" w:ascii="宋体" w:hAnsi="宋体" w:eastAsia="宋体" w:cs="宋体"/>
          <w:b w:val="0"/>
          <w:bCs w:val="0"/>
          <w:sz w:val="21"/>
          <w:szCs w:val="21"/>
          <w:lang w:val="en-US" w:eastAsia="zh-CN"/>
        </w:rPr>
        <w:t>企业</w:t>
      </w:r>
      <w:r>
        <w:rPr>
          <w:rFonts w:hint="eastAsia" w:ascii="宋体" w:hAnsi="宋体" w:eastAsia="宋体" w:cs="宋体"/>
          <w:b w:val="0"/>
          <w:bCs w:val="0"/>
          <w:sz w:val="21"/>
          <w:szCs w:val="21"/>
        </w:rPr>
        <w:t>的资质情况发生变化</w:t>
      </w:r>
      <w:r>
        <w:rPr>
          <w:rFonts w:hint="eastAsia" w:ascii="宋体" w:hAnsi="宋体" w:eastAsia="宋体" w:cs="宋体"/>
          <w:b w:val="0"/>
          <w:bCs w:val="0"/>
          <w:sz w:val="21"/>
          <w:szCs w:val="21"/>
          <w:lang w:eastAsia="zh-CN"/>
        </w:rPr>
        <w:t>：企业营业执照</w:t>
      </w:r>
      <w:r>
        <w:rPr>
          <w:rFonts w:hint="eastAsia" w:cs="宋体"/>
          <w:b w:val="0"/>
          <w:bCs w:val="0"/>
          <w:sz w:val="21"/>
          <w:szCs w:val="21"/>
          <w:lang w:eastAsia="zh-CN"/>
        </w:rPr>
        <w:t>（</w:t>
      </w:r>
      <w:r>
        <w:rPr>
          <w:rFonts w:hint="eastAsia" w:cs="宋体"/>
          <w:b w:val="0"/>
          <w:bCs w:val="0"/>
          <w:sz w:val="21"/>
          <w:szCs w:val="21"/>
          <w:lang w:val="en-US" w:eastAsia="zh-CN"/>
        </w:rPr>
        <w:t>2020.8.23</w:t>
      </w:r>
      <w:r>
        <w:rPr>
          <w:rFonts w:hint="eastAsia" w:cs="宋体"/>
          <w:b w:val="0"/>
          <w:bCs w:val="0"/>
          <w:sz w:val="21"/>
          <w:szCs w:val="21"/>
          <w:lang w:eastAsia="zh-CN"/>
        </w:rPr>
        <w:t>现场补审后）</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组织</w:t>
      </w:r>
      <w:r>
        <w:rPr>
          <w:rFonts w:hint="eastAsia" w:ascii="宋体" w:hAnsi="宋体" w:eastAsia="宋体" w:cs="宋体"/>
          <w:b w:val="0"/>
          <w:bCs w:val="0"/>
          <w:sz w:val="21"/>
          <w:szCs w:val="21"/>
          <w:lang w:eastAsia="zh-CN"/>
        </w:rPr>
        <w:t>机构没有变更</w:t>
      </w:r>
      <w:r>
        <w:rPr>
          <w:rFonts w:hint="eastAsia" w:ascii="宋体" w:hAnsi="宋体" w:eastAsia="宋体" w:cs="宋体"/>
          <w:b w:val="0"/>
          <w:bCs w:val="0"/>
          <w:sz w:val="21"/>
          <w:szCs w:val="21"/>
          <w:lang w:val="en-US" w:eastAsia="zh-CN"/>
        </w:rPr>
        <w:t>；总经理张福芬重新任命办公室主任栾丽燕为管理者主持企业测量体系工作。</w:t>
      </w:r>
      <w:r>
        <w:rPr>
          <w:rFonts w:hint="eastAsia" w:cs="宋体"/>
          <w:b w:val="0"/>
          <w:bCs w:val="0"/>
          <w:sz w:val="21"/>
          <w:szCs w:val="21"/>
          <w:lang w:val="en-US" w:eastAsia="zh-CN"/>
        </w:rPr>
        <w:t>企业增加</w:t>
      </w:r>
      <w:r>
        <w:rPr>
          <w:rFonts w:hint="eastAsia" w:ascii="宋体" w:hAnsi="宋体" w:eastAsia="宋体" w:cs="宋体"/>
          <w:b w:val="0"/>
          <w:bCs w:val="0"/>
          <w:sz w:val="21"/>
          <w:szCs w:val="21"/>
          <w:lang w:eastAsia="zh-CN"/>
        </w:rPr>
        <w:t>认证产品：</w:t>
      </w:r>
      <w:r>
        <w:rPr>
          <w:rFonts w:hint="eastAsia" w:ascii="宋体" w:hAnsi="宋体" w:eastAsia="宋体" w:cs="宋体"/>
          <w:b w:val="0"/>
          <w:bCs w:val="0"/>
          <w:color w:val="auto"/>
          <w:sz w:val="21"/>
          <w:szCs w:val="21"/>
        </w:rPr>
        <w:t>风光互补供电系统（太阳能发电装置、风能太阳能发电装置）、仪器仪表（含实验室仪器设备、石油专用仪器仪表）组装生产</w:t>
      </w:r>
      <w:r>
        <w:rPr>
          <w:rFonts w:hint="eastAsia" w:ascii="宋体" w:hAnsi="宋体" w:eastAsia="宋体" w:cs="宋体"/>
          <w:b w:val="0"/>
          <w:bCs w:val="0"/>
          <w:color w:val="auto"/>
          <w:sz w:val="21"/>
          <w:szCs w:val="21"/>
          <w:lang w:eastAsia="zh-CN"/>
        </w:rPr>
        <w:t>（资质范围内），等技术服务</w:t>
      </w:r>
      <w:r>
        <w:rPr>
          <w:rFonts w:hint="eastAsia" w:ascii="宋体" w:hAnsi="宋体" w:eastAsia="宋体" w:cs="宋体"/>
          <w:b w:val="0"/>
          <w:bCs w:val="0"/>
          <w:color w:val="auto"/>
          <w:sz w:val="21"/>
          <w:szCs w:val="21"/>
          <w:lang w:val="en-US" w:eastAsia="zh-CN"/>
        </w:rPr>
        <w:t>。</w:t>
      </w:r>
      <w:r>
        <w:rPr>
          <w:rFonts w:hint="eastAsia" w:ascii="宋体" w:hAnsi="宋体" w:eastAsia="宋体" w:cs="宋体"/>
          <w:b w:val="0"/>
          <w:bCs w:val="0"/>
          <w:color w:val="auto"/>
          <w:sz w:val="21"/>
          <w:szCs w:val="21"/>
        </w:rPr>
        <w:t>生产</w:t>
      </w:r>
      <w:r>
        <w:rPr>
          <w:rFonts w:hint="eastAsia" w:ascii="宋体" w:hAnsi="宋体" w:eastAsia="宋体" w:cs="宋体"/>
          <w:b w:val="0"/>
          <w:bCs w:val="0"/>
          <w:color w:val="auto"/>
          <w:sz w:val="21"/>
          <w:szCs w:val="21"/>
          <w:lang w:eastAsia="zh-CN"/>
        </w:rPr>
        <w:t>依据标准</w:t>
      </w:r>
      <w:r>
        <w:rPr>
          <w:rFonts w:hint="eastAsia" w:ascii="宋体" w:hAnsi="宋体" w:eastAsia="宋体" w:cs="宋体"/>
          <w:b w:val="0"/>
          <w:bCs w:val="0"/>
          <w:color w:val="3E3E3E"/>
          <w:kern w:val="0"/>
          <w:sz w:val="21"/>
          <w:szCs w:val="21"/>
          <w:lang w:val="en-US" w:eastAsia="zh-CN" w:bidi="ar"/>
        </w:rPr>
        <w:t>GB/7251.12-2013《</w:t>
      </w:r>
      <w:r>
        <w:rPr>
          <w:rFonts w:hint="eastAsia" w:ascii="宋体" w:hAnsi="宋体" w:eastAsia="宋体" w:cs="宋体"/>
          <w:b w:val="0"/>
          <w:bCs w:val="0"/>
          <w:i w:val="0"/>
          <w:caps w:val="0"/>
          <w:color w:val="000000"/>
          <w:spacing w:val="0"/>
          <w:sz w:val="21"/>
          <w:szCs w:val="21"/>
          <w:shd w:val="clear" w:fill="FFFFFF"/>
        </w:rPr>
        <w:t>低压成套开关设备和控制设备 第2部分：成套电力开关和控制设备</w:t>
      </w:r>
      <w:r>
        <w:rPr>
          <w:rFonts w:hint="eastAsia" w:ascii="宋体" w:hAnsi="宋体" w:eastAsia="宋体" w:cs="宋体"/>
          <w:b w:val="0"/>
          <w:bCs w:val="0"/>
          <w:color w:val="3E3E3E"/>
          <w:kern w:val="0"/>
          <w:sz w:val="21"/>
          <w:szCs w:val="21"/>
          <w:lang w:val="en-US" w:eastAsia="zh-CN" w:bidi="ar"/>
        </w:rPr>
        <w:t>》、</w:t>
      </w:r>
      <w:r>
        <w:rPr>
          <w:rFonts w:hint="eastAsia" w:ascii="宋体" w:hAnsi="宋体" w:eastAsia="宋体" w:cs="宋体"/>
          <w:b w:val="0"/>
          <w:bCs w:val="0"/>
          <w:sz w:val="21"/>
          <w:szCs w:val="21"/>
          <w:lang w:eastAsia="zh-CN"/>
        </w:rPr>
        <w:t>GB/T 1</w:t>
      </w:r>
      <w:r>
        <w:rPr>
          <w:rFonts w:hint="eastAsia" w:ascii="宋体" w:hAnsi="宋体" w:eastAsia="宋体" w:cs="宋体"/>
          <w:b w:val="0"/>
          <w:bCs w:val="0"/>
          <w:sz w:val="21"/>
          <w:szCs w:val="21"/>
          <w:lang w:val="en-US" w:eastAsia="zh-CN"/>
        </w:rPr>
        <w:t>9115.1-2018</w:t>
      </w:r>
      <w:r>
        <w:rPr>
          <w:rFonts w:hint="eastAsia" w:ascii="宋体" w:hAnsi="宋体" w:eastAsia="宋体" w:cs="宋体"/>
          <w:b w:val="0"/>
          <w:bCs w:val="0"/>
          <w:sz w:val="21"/>
          <w:szCs w:val="21"/>
          <w:lang w:eastAsia="zh-CN"/>
        </w:rPr>
        <w:t>《风光互补发电系统第</w:t>
      </w:r>
      <w:r>
        <w:rPr>
          <w:rFonts w:hint="eastAsia" w:ascii="宋体" w:hAnsi="宋体" w:eastAsia="宋体" w:cs="宋体"/>
          <w:b w:val="0"/>
          <w:bCs w:val="0"/>
          <w:sz w:val="21"/>
          <w:szCs w:val="21"/>
          <w:lang w:val="en-US" w:eastAsia="zh-CN"/>
        </w:rPr>
        <w:t>1</w:t>
      </w:r>
      <w:r>
        <w:rPr>
          <w:rFonts w:hint="eastAsia" w:ascii="宋体" w:hAnsi="宋体" w:eastAsia="宋体" w:cs="宋体"/>
          <w:b w:val="0"/>
          <w:bCs w:val="0"/>
          <w:sz w:val="21"/>
          <w:szCs w:val="21"/>
          <w:lang w:eastAsia="zh-CN"/>
        </w:rPr>
        <w:t>部分：技术条件》</w:t>
      </w:r>
      <w:r>
        <w:rPr>
          <w:rFonts w:hint="eastAsia" w:ascii="宋体" w:hAnsi="宋体" w:eastAsia="宋体" w:cs="宋体"/>
          <w:b w:val="0"/>
          <w:bCs w:val="0"/>
          <w:color w:val="3E3E3E"/>
          <w:kern w:val="0"/>
          <w:sz w:val="21"/>
          <w:szCs w:val="21"/>
          <w:lang w:val="en-US" w:eastAsia="zh-CN" w:bidi="ar"/>
        </w:rPr>
        <w:t xml:space="preserve"> </w:t>
      </w:r>
      <w:r>
        <w:rPr>
          <w:rFonts w:hint="eastAsia" w:ascii="宋体" w:hAnsi="宋体" w:eastAsia="宋体" w:cs="宋体"/>
          <w:b w:val="0"/>
          <w:bCs w:val="0"/>
          <w:sz w:val="21"/>
          <w:szCs w:val="21"/>
          <w:lang w:val="en-US" w:eastAsia="zh-CN"/>
        </w:rPr>
        <w:t>标准现行有效。符合标准要求。对新增加产品</w:t>
      </w:r>
      <w:r>
        <w:rPr>
          <w:rFonts w:hint="eastAsia" w:ascii="宋体" w:hAnsi="宋体" w:eastAsia="宋体" w:cs="宋体"/>
          <w:b w:val="0"/>
          <w:bCs w:val="0"/>
          <w:color w:val="auto"/>
          <w:sz w:val="21"/>
          <w:szCs w:val="21"/>
        </w:rPr>
        <w:t>风光互补供电系统</w:t>
      </w:r>
      <w:r>
        <w:rPr>
          <w:rFonts w:hint="eastAsia" w:ascii="宋体" w:hAnsi="宋体" w:eastAsia="宋体" w:cs="宋体"/>
          <w:b w:val="0"/>
          <w:bCs w:val="0"/>
          <w:color w:val="auto"/>
          <w:sz w:val="21"/>
          <w:szCs w:val="21"/>
          <w:lang w:eastAsia="zh-CN"/>
        </w:rPr>
        <w:t>等</w:t>
      </w:r>
      <w:r>
        <w:rPr>
          <w:rFonts w:hint="eastAsia" w:ascii="宋体" w:hAnsi="宋体" w:eastAsia="宋体" w:cs="宋体"/>
          <w:b w:val="0"/>
          <w:bCs w:val="0"/>
          <w:sz w:val="21"/>
          <w:szCs w:val="21"/>
          <w:lang w:val="en-US" w:eastAsia="zh-CN"/>
        </w:rPr>
        <w:t>测量的关键测量过程,</w:t>
      </w:r>
      <w:r>
        <w:rPr>
          <w:rFonts w:hint="eastAsia" w:ascii="宋体" w:hAnsi="宋体" w:eastAsia="宋体" w:cs="宋体"/>
          <w:b w:val="0"/>
          <w:bCs w:val="0"/>
          <w:sz w:val="21"/>
          <w:szCs w:val="21"/>
          <w:lang w:eastAsia="zh-CN"/>
        </w:rPr>
        <w:t>进行确认，</w:t>
      </w:r>
      <w:r>
        <w:rPr>
          <w:rFonts w:hint="eastAsia" w:ascii="宋体" w:hAnsi="宋体" w:eastAsia="宋体" w:cs="宋体"/>
          <w:b w:val="0"/>
          <w:bCs w:val="0"/>
          <w:sz w:val="21"/>
          <w:szCs w:val="21"/>
          <w:lang w:val="en-US" w:eastAsia="zh-CN"/>
        </w:rPr>
        <w:t>生产过程中所用测量设备在检定周期内，见测量设备朔源检查表，所增项的生产过程，原材料检验，加工过程检验，成品出厂检验等均已纳入测量管理体系中进行管理。关键测量过程为风光互补发光装置的耐压测试</w:t>
      </w:r>
      <w:r>
        <w:rPr>
          <w:rFonts w:hint="eastAsia" w:ascii="宋体" w:hAnsi="宋体" w:eastAsia="宋体" w:cs="宋体"/>
          <w:b w:val="0"/>
          <w:bCs w:val="0"/>
          <w:sz w:val="21"/>
          <w:szCs w:val="21"/>
        </w:rPr>
        <w:t>测</w:t>
      </w:r>
      <w:r>
        <w:rPr>
          <w:rFonts w:hint="eastAsia" w:ascii="宋体" w:hAnsi="宋体" w:eastAsia="宋体" w:cs="宋体"/>
          <w:b w:val="0"/>
          <w:bCs w:val="0"/>
          <w:sz w:val="21"/>
          <w:szCs w:val="21"/>
          <w:lang w:eastAsia="zh-CN"/>
        </w:rPr>
        <w:t>量</w:t>
      </w:r>
      <w:r>
        <w:rPr>
          <w:rFonts w:hint="eastAsia" w:ascii="宋体" w:hAnsi="宋体" w:eastAsia="宋体" w:cs="宋体"/>
          <w:b w:val="0"/>
          <w:bCs w:val="0"/>
          <w:sz w:val="21"/>
          <w:szCs w:val="21"/>
        </w:rPr>
        <w:t>过程计量要求的导出</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测量不确定评定</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有效性确认</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 xml:space="preserve">测量过程的控制 </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测量过程的监视</w:t>
      </w:r>
      <w:r>
        <w:rPr>
          <w:rFonts w:hint="eastAsia" w:ascii="宋体" w:hAnsi="宋体" w:eastAsia="宋体" w:cs="宋体"/>
          <w:b w:val="0"/>
          <w:bCs w:val="0"/>
          <w:sz w:val="21"/>
          <w:szCs w:val="21"/>
          <w:lang w:val="en-US" w:eastAsia="zh-CN"/>
        </w:rPr>
        <w:t>等符合要求，经审核表明</w:t>
      </w:r>
      <w:r>
        <w:rPr>
          <w:rFonts w:hint="eastAsia" w:ascii="宋体" w:hAnsi="宋体" w:eastAsia="宋体" w:cs="宋体"/>
          <w:b w:val="0"/>
          <w:bCs w:val="0"/>
          <w:kern w:val="0"/>
          <w:sz w:val="21"/>
          <w:szCs w:val="21"/>
        </w:rPr>
        <w:t>。</w:t>
      </w:r>
      <w:r>
        <w:rPr>
          <w:rFonts w:hint="eastAsia" w:ascii="宋体" w:hAnsi="宋体" w:eastAsia="宋体" w:cs="宋体"/>
          <w:b w:val="0"/>
          <w:bCs w:val="0"/>
          <w:kern w:val="0"/>
          <w:sz w:val="21"/>
          <w:szCs w:val="21"/>
          <w:lang w:eastAsia="zh-CN"/>
        </w:rPr>
        <w:t>东营金丰正阳科技发展有限公司</w:t>
      </w:r>
      <w:r>
        <w:rPr>
          <w:rFonts w:hint="eastAsia" w:ascii="宋体" w:hAnsi="宋体" w:eastAsia="宋体" w:cs="宋体"/>
          <w:b w:val="0"/>
          <w:bCs w:val="0"/>
          <w:color w:val="auto"/>
          <w:sz w:val="21"/>
          <w:szCs w:val="21"/>
        </w:rPr>
        <w:t>风光互补供电系统（太阳能发电装置、风能太阳能发电装置）、仪器仪表（含实验室仪器设备、石油专用仪器仪表）组装生产</w:t>
      </w:r>
      <w:r>
        <w:rPr>
          <w:rFonts w:hint="eastAsia" w:ascii="宋体" w:hAnsi="宋体" w:eastAsia="宋体" w:cs="宋体"/>
          <w:b w:val="0"/>
          <w:bCs w:val="0"/>
          <w:sz w:val="21"/>
          <w:szCs w:val="21"/>
          <w:lang w:eastAsia="zh-CN"/>
        </w:rPr>
        <w:t>（资质范围内），技术服务</w:t>
      </w:r>
      <w:r>
        <w:rPr>
          <w:rFonts w:hint="eastAsia" w:ascii="宋体" w:hAnsi="宋体" w:eastAsia="宋体" w:cs="宋体"/>
          <w:b w:val="0"/>
          <w:bCs w:val="0"/>
          <w:sz w:val="21"/>
          <w:szCs w:val="21"/>
          <w:lang w:val="en-US" w:eastAsia="zh-CN"/>
        </w:rPr>
        <w:t>等纳入</w:t>
      </w:r>
      <w:r>
        <w:rPr>
          <w:rFonts w:hint="eastAsia" w:ascii="宋体" w:hAnsi="宋体" w:eastAsia="宋体" w:cs="宋体"/>
          <w:b w:val="0"/>
          <w:bCs w:val="0"/>
          <w:sz w:val="21"/>
          <w:szCs w:val="21"/>
        </w:rPr>
        <w:t>测量管理体系，符合GB/T 19022-2003标准要求，对体系运行具有持续的有效性、符合性予以肯定</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建议报请北京国标联合认证有限公司批准通过。</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9.标志的使用和（或）任何其他对认证资格引用的情况：</w:t>
      </w:r>
    </w:p>
    <w:p>
      <w:pPr>
        <w:widowControl/>
        <w:spacing w:line="360" w:lineRule="auto"/>
        <w:ind w:firstLine="420" w:firstLineChars="200"/>
        <w:rPr>
          <w:rFonts w:hint="eastAsia" w:ascii="宋体" w:hAnsi="宋体" w:cs="宋体"/>
          <w:bCs/>
          <w:kern w:val="0"/>
          <w:szCs w:val="21"/>
        </w:rPr>
      </w:pPr>
      <w:r>
        <w:rPr>
          <w:rFonts w:hint="eastAsia" w:ascii="宋体" w:hAnsi="宋体" w:cs="宋体"/>
          <w:bCs/>
          <w:kern w:val="0"/>
          <w:szCs w:val="21"/>
        </w:rPr>
        <w:t>1</w:t>
      </w:r>
      <w:r>
        <w:rPr>
          <w:rFonts w:hint="eastAsia" w:ascii="宋体" w:hAnsi="宋体" w:cs="宋体"/>
          <w:bCs/>
          <w:kern w:val="0"/>
          <w:szCs w:val="21"/>
          <w:lang w:eastAsia="zh-CN"/>
        </w:rPr>
        <w:t>）</w:t>
      </w:r>
      <w:r>
        <w:rPr>
          <w:rFonts w:hint="eastAsia" w:ascii="宋体" w:hAnsi="宋体" w:cs="宋体"/>
          <w:bCs/>
          <w:kern w:val="0"/>
          <w:szCs w:val="21"/>
        </w:rPr>
        <w:t>公司测量管理体系认证证书用于开发市场，用于企业形象广告宣传；</w:t>
      </w:r>
    </w:p>
    <w:p>
      <w:pPr>
        <w:widowControl/>
        <w:spacing w:line="360" w:lineRule="auto"/>
        <w:ind w:firstLine="420" w:firstLineChars="200"/>
        <w:rPr>
          <w:rFonts w:ascii="宋体" w:cs="宋体"/>
          <w:bCs/>
          <w:kern w:val="0"/>
          <w:szCs w:val="21"/>
        </w:rPr>
      </w:pPr>
      <w:r>
        <w:rPr>
          <w:rFonts w:ascii="宋体" w:hAnsi="宋体" w:cs="宋体"/>
          <w:bCs/>
          <w:kern w:val="0"/>
          <w:szCs w:val="21"/>
        </w:rPr>
        <w:t>2</w:t>
      </w:r>
      <w:r>
        <w:rPr>
          <w:rFonts w:hint="eastAsia" w:ascii="宋体" w:hAnsi="宋体" w:cs="宋体"/>
          <w:bCs/>
          <w:kern w:val="0"/>
          <w:szCs w:val="21"/>
          <w:lang w:eastAsia="zh-CN"/>
        </w:rPr>
        <w:t>）</w:t>
      </w:r>
      <w:r>
        <w:rPr>
          <w:rFonts w:hint="eastAsia" w:ascii="宋体" w:hAnsi="宋体" w:cs="宋体"/>
          <w:bCs/>
          <w:kern w:val="0"/>
          <w:szCs w:val="21"/>
        </w:rPr>
        <w:t>企业</w:t>
      </w:r>
      <w:r>
        <w:rPr>
          <w:rFonts w:hint="eastAsia" w:ascii="宋体" w:hAnsi="宋体" w:cs="宋体"/>
          <w:bCs/>
          <w:kern w:val="0"/>
          <w:szCs w:val="21"/>
          <w:lang w:eastAsia="zh-CN"/>
        </w:rPr>
        <w:t>产品主要</w:t>
      </w:r>
      <w:r>
        <w:rPr>
          <w:rFonts w:hint="eastAsia" w:ascii="宋体" w:hAnsi="宋体" w:cs="宋体"/>
          <w:bCs/>
          <w:kern w:val="0"/>
          <w:szCs w:val="21"/>
        </w:rPr>
        <w:t>用于</w:t>
      </w:r>
      <w:r>
        <w:rPr>
          <w:rFonts w:hint="eastAsia" w:ascii="宋体" w:hAnsi="宋体" w:cs="宋体"/>
          <w:bCs/>
          <w:kern w:val="0"/>
          <w:szCs w:val="21"/>
          <w:lang w:eastAsia="zh-CN"/>
        </w:rPr>
        <w:t>胜利油田等项目的</w:t>
      </w:r>
      <w:r>
        <w:rPr>
          <w:rFonts w:ascii="Times New Roman" w:hAnsi="Times New Roman" w:cs="Times New Roman"/>
          <w:bCs/>
          <w:kern w:val="0"/>
          <w:szCs w:val="21"/>
        </w:rPr>
        <w:t>招投标用</w:t>
      </w:r>
      <w:r>
        <w:rPr>
          <w:rFonts w:hint="eastAsia" w:ascii="Times New Roman" w:hAnsi="Times New Roman" w:cs="Times New Roman"/>
          <w:bCs/>
          <w:kern w:val="0"/>
          <w:szCs w:val="21"/>
          <w:lang w:eastAsia="zh-CN"/>
        </w:rPr>
        <w:t>。</w:t>
      </w:r>
      <w:r>
        <w:rPr>
          <w:rFonts w:hint="eastAsia" w:ascii="宋体" w:hAnsi="宋体" w:cs="宋体"/>
          <w:bCs/>
          <w:kern w:val="0"/>
          <w:szCs w:val="21"/>
          <w:lang w:eastAsia="zh-CN"/>
        </w:rPr>
        <w:t>投标</w:t>
      </w:r>
      <w:r>
        <w:rPr>
          <w:rFonts w:hint="eastAsia" w:ascii="宋体" w:hAnsi="宋体" w:cs="宋体"/>
          <w:bCs/>
          <w:kern w:val="0"/>
          <w:szCs w:val="21"/>
        </w:rPr>
        <w:t>加分；公司对标志的使用，符合相关标准和规定。</w:t>
      </w:r>
    </w:p>
    <w:p>
      <w:pPr>
        <w:spacing w:line="360" w:lineRule="auto"/>
        <w:rPr>
          <w:rFonts w:hint="eastAsia" w:ascii="宋体" w:hAnsi="宋体" w:cs="宋体"/>
          <w:b/>
          <w:bCs/>
          <w:kern w:val="0"/>
          <w:szCs w:val="21"/>
          <w:lang w:eastAsia="zh-CN"/>
        </w:rPr>
      </w:pPr>
      <w:r>
        <w:rPr>
          <w:rFonts w:hint="eastAsia" w:ascii="宋体" w:hAnsi="宋体" w:cs="宋体"/>
          <w:b/>
          <w:bCs/>
          <w:kern w:val="0"/>
          <w:szCs w:val="21"/>
          <w:lang w:val="en-US" w:eastAsia="zh-CN"/>
        </w:rPr>
        <w:t>10.</w:t>
      </w:r>
      <w:r>
        <w:rPr>
          <w:rFonts w:hint="eastAsia" w:ascii="宋体" w:hAnsi="宋体" w:cs="宋体"/>
          <w:b/>
          <w:bCs/>
          <w:kern w:val="0"/>
          <w:szCs w:val="21"/>
        </w:rPr>
        <w:t>本次</w:t>
      </w:r>
      <w:r>
        <w:rPr>
          <w:rFonts w:hint="eastAsia" w:ascii="宋体" w:hAnsi="宋体" w:cs="宋体"/>
          <w:b/>
          <w:bCs/>
          <w:kern w:val="0"/>
          <w:szCs w:val="21"/>
          <w:lang w:eastAsia="zh-CN"/>
        </w:rPr>
        <w:t>监督</w:t>
      </w:r>
      <w:r>
        <w:rPr>
          <w:rFonts w:hint="eastAsia" w:ascii="宋体" w:hAnsi="宋体" w:cs="宋体"/>
          <w:b/>
          <w:bCs/>
          <w:kern w:val="0"/>
          <w:szCs w:val="21"/>
        </w:rPr>
        <w:t>审核发现</w:t>
      </w:r>
      <w:r>
        <w:rPr>
          <w:rFonts w:hint="eastAsia" w:ascii="宋体" w:hAnsi="宋体" w:cs="宋体"/>
          <w:b/>
          <w:bCs/>
          <w:kern w:val="0"/>
          <w:szCs w:val="21"/>
          <w:lang w:val="en-US" w:eastAsia="zh-CN"/>
        </w:rPr>
        <w:t>1</w:t>
      </w:r>
      <w:r>
        <w:rPr>
          <w:rFonts w:hint="eastAsia" w:ascii="宋体" w:hAnsi="宋体" w:cs="宋体"/>
          <w:b/>
          <w:bCs/>
          <w:kern w:val="0"/>
          <w:szCs w:val="21"/>
          <w:lang w:eastAsia="zh-CN"/>
        </w:rPr>
        <w:t>项次要</w:t>
      </w:r>
      <w:r>
        <w:rPr>
          <w:rFonts w:hint="eastAsia" w:ascii="宋体" w:hAnsi="宋体" w:cs="宋体"/>
          <w:b/>
          <w:bCs/>
          <w:kern w:val="0"/>
          <w:szCs w:val="21"/>
        </w:rPr>
        <w:t>不符合项</w:t>
      </w:r>
      <w:r>
        <w:rPr>
          <w:rFonts w:hint="eastAsia" w:ascii="宋体" w:hAnsi="宋体" w:cs="宋体"/>
          <w:b/>
          <w:bCs/>
          <w:kern w:val="0"/>
          <w:szCs w:val="21"/>
          <w:lang w:eastAsia="zh-CN"/>
        </w:rPr>
        <w:t>。</w:t>
      </w:r>
    </w:p>
    <w:p>
      <w:pPr>
        <w:spacing w:line="360" w:lineRule="auto"/>
        <w:rPr>
          <w:rFonts w:hint="eastAsia" w:ascii="宋体" w:hAnsi="宋体" w:cs="宋体"/>
          <w:color w:val="auto"/>
          <w:kern w:val="0"/>
          <w:szCs w:val="21"/>
          <w:highlight w:val="none"/>
          <w:lang w:eastAsia="zh-CN"/>
        </w:rPr>
      </w:pPr>
      <w:r>
        <w:rPr>
          <w:rFonts w:hint="eastAsia" w:ascii="宋体" w:hAnsi="宋体" w:cs="宋体"/>
          <w:b/>
          <w:bCs/>
          <w:color w:val="auto"/>
          <w:kern w:val="0"/>
          <w:szCs w:val="21"/>
          <w:highlight w:val="none"/>
          <w:lang w:val="en-US" w:eastAsia="zh-CN"/>
        </w:rPr>
        <w:t>10.1</w:t>
      </w:r>
      <w:r>
        <w:rPr>
          <w:rFonts w:hint="eastAsia" w:ascii="宋体" w:hAnsi="宋体" w:cs="宋体"/>
          <w:kern w:val="0"/>
          <w:szCs w:val="21"/>
          <w:lang w:eastAsia="zh-CN"/>
        </w:rPr>
        <w:t>生产部提供的编号：</w:t>
      </w:r>
      <w:r>
        <w:rPr>
          <w:rFonts w:hint="eastAsia" w:ascii="宋体" w:hAnsi="宋体" w:cs="宋体"/>
          <w:kern w:val="0"/>
          <w:szCs w:val="21"/>
          <w:lang w:val="en-US" w:eastAsia="zh-CN"/>
        </w:rPr>
        <w:t>04078</w:t>
      </w:r>
      <w:r>
        <w:rPr>
          <w:rFonts w:hint="eastAsia" w:ascii="宋体" w:hAnsi="宋体" w:cs="宋体"/>
          <w:kern w:val="0"/>
          <w:szCs w:val="21"/>
          <w:lang w:eastAsia="zh-CN"/>
        </w:rPr>
        <w:t>耐压试验仪的计量确认验证记录中，验证过程没有依据校准证书给出结论验证。</w:t>
      </w:r>
      <w:r>
        <w:rPr>
          <w:rFonts w:hint="eastAsia" w:ascii="宋体" w:hAnsi="宋体" w:cs="宋体"/>
          <w:color w:val="auto"/>
          <w:kern w:val="0"/>
          <w:szCs w:val="21"/>
        </w:rPr>
        <w:t>不符合GB/T19022-2003标准中</w:t>
      </w:r>
      <w:r>
        <w:rPr>
          <w:rFonts w:hint="eastAsia" w:ascii="宋体" w:hAnsi="宋体" w:cs="宋体"/>
          <w:color w:val="auto"/>
          <w:kern w:val="0"/>
          <w:szCs w:val="21"/>
          <w:lang w:val="en-US" w:eastAsia="zh-CN"/>
        </w:rPr>
        <w:t>7.1.4</w:t>
      </w:r>
      <w:r>
        <w:rPr>
          <w:rFonts w:hint="eastAsia" w:ascii="宋体" w:hAnsi="宋体" w:cs="宋体"/>
          <w:color w:val="auto"/>
          <w:kern w:val="0"/>
          <w:szCs w:val="21"/>
        </w:rPr>
        <w:t>条款</w:t>
      </w:r>
      <w:r>
        <w:rPr>
          <w:rFonts w:hint="eastAsia" w:ascii="宋体" w:hAnsi="宋体" w:cs="宋体"/>
          <w:color w:val="auto"/>
          <w:kern w:val="0"/>
          <w:szCs w:val="21"/>
          <w:lang w:eastAsia="zh-CN"/>
        </w:rPr>
        <w:t>中关于</w:t>
      </w:r>
      <w:r>
        <w:rPr>
          <w:rFonts w:hint="eastAsia" w:ascii="宋体" w:hAnsi="宋体" w:cs="宋体"/>
          <w:color w:val="auto"/>
          <w:kern w:val="0"/>
          <w:szCs w:val="21"/>
        </w:rPr>
        <w:t>“</w:t>
      </w:r>
      <w:r>
        <w:rPr>
          <w:rFonts w:hint="eastAsia" w:ascii="宋体"/>
        </w:rPr>
        <w:t>计量确认过程记录应证明每台测量设备是否满足规定的计量要求。需要时，记录应包括： 校准结果的溯源性的证据</w:t>
      </w:r>
      <w:r>
        <w:rPr>
          <w:rFonts w:hint="eastAsia" w:ascii="宋体" w:hAnsi="宋体" w:eastAsia="宋体" w:cs="宋体"/>
          <w:lang w:eastAsia="zh-CN"/>
        </w:rPr>
        <w:t>……</w:t>
      </w:r>
      <w:r>
        <w:rPr>
          <w:rFonts w:hint="eastAsia" w:ascii="宋体"/>
          <w:lang w:eastAsia="zh-CN"/>
        </w:rPr>
        <w:t>。</w:t>
      </w:r>
      <w:r>
        <w:rPr>
          <w:rFonts w:hint="eastAsia" w:ascii="宋体" w:hAnsi="宋体" w:cs="宋体"/>
          <w:color w:val="auto"/>
          <w:kern w:val="0"/>
          <w:szCs w:val="21"/>
        </w:rPr>
        <w:t>”的规定要求。</w:t>
      </w:r>
      <w:r>
        <w:rPr>
          <w:rFonts w:hint="eastAsia" w:ascii="宋体" w:hAnsi="宋体" w:cs="宋体"/>
          <w:color w:val="auto"/>
          <w:kern w:val="0"/>
          <w:szCs w:val="21"/>
          <w:highlight w:val="none"/>
          <w:lang w:eastAsia="zh-CN"/>
        </w:rPr>
        <w:t>属于次要不符合项。</w:t>
      </w:r>
    </w:p>
    <w:p>
      <w:pPr>
        <w:spacing w:line="360" w:lineRule="auto"/>
        <w:ind w:firstLine="480"/>
        <w:rPr>
          <w:rFonts w:hint="default" w:ascii="宋体" w:hAnsi="宋体" w:cs="宋体"/>
          <w:bCs/>
          <w:color w:val="auto"/>
          <w:kern w:val="0"/>
          <w:szCs w:val="21"/>
          <w:highlight w:val="none"/>
          <w:lang w:val="en-US"/>
        </w:rPr>
      </w:pPr>
      <w:r>
        <w:rPr>
          <w:rFonts w:hint="eastAsia" w:ascii="宋体" w:hAnsi="宋体"/>
          <w:color w:val="auto"/>
          <w:szCs w:val="21"/>
          <w:highlight w:val="none"/>
          <w:u w:val="none"/>
          <w:lang w:val="en-US" w:eastAsia="zh-CN"/>
        </w:rPr>
        <w:t>针对上述1项次要不符合项，企业制定了整改措施并已落实，审核组验证有效。</w:t>
      </w:r>
    </w:p>
    <w:p>
      <w:pPr>
        <w:spacing w:before="240" w:after="240" w:line="360" w:lineRule="auto"/>
        <w:rPr>
          <w:rFonts w:ascii="Times New Roman" w:hAnsi="Times New Roman" w:cs="Times New Roman"/>
          <w:bCs/>
          <w:kern w:val="0"/>
          <w:szCs w:val="21"/>
        </w:rPr>
      </w:pPr>
      <w:r>
        <w:rPr>
          <w:rFonts w:ascii="Times New Roman" w:hAnsi="Times New Roman" w:cs="Times New Roman"/>
          <w:b/>
          <w:bCs/>
          <w:kern w:val="0"/>
          <w:szCs w:val="21"/>
        </w:rPr>
        <w:t>11、</w:t>
      </w:r>
      <w:r>
        <w:rPr>
          <w:rFonts w:ascii="Times New Roman" w:hAnsi="Times New Roman" w:cs="Times New Roman"/>
          <w:bCs/>
          <w:kern w:val="0"/>
          <w:szCs w:val="21"/>
        </w:rPr>
        <w:t xml:space="preserve"> </w:t>
      </w:r>
      <w:r>
        <w:rPr>
          <w:rFonts w:ascii="Times New Roman" w:hAnsi="Times New Roman" w:cs="Times New Roman"/>
          <w:b/>
          <w:bCs/>
          <w:kern w:val="0"/>
          <w:szCs w:val="21"/>
        </w:rPr>
        <w:t>能耗方面：</w:t>
      </w:r>
    </w:p>
    <w:p>
      <w:pPr>
        <w:widowControl/>
        <w:spacing w:line="360" w:lineRule="auto"/>
        <w:ind w:firstLine="420" w:firstLineChars="200"/>
        <w:rPr>
          <w:rFonts w:ascii="Times New Roman" w:hAnsi="Times New Roman" w:cs="Times New Roman"/>
          <w:bCs/>
          <w:color w:val="auto"/>
          <w:kern w:val="0"/>
          <w:szCs w:val="21"/>
          <w:highlight w:val="none"/>
        </w:rPr>
      </w:pPr>
      <w:r>
        <w:rPr>
          <w:rFonts w:hint="eastAsia" w:ascii="Times New Roman" w:hAnsi="Times New Roman" w:cs="Times New Roman"/>
          <w:bCs/>
          <w:color w:val="auto"/>
          <w:kern w:val="0"/>
          <w:szCs w:val="21"/>
          <w:highlight w:val="none"/>
          <w:lang w:eastAsia="zh-CN"/>
        </w:rPr>
        <w:t>东营金丰正阳科技发展有限公司</w:t>
      </w:r>
      <w:r>
        <w:rPr>
          <w:rFonts w:ascii="Times New Roman" w:hAnsi="Times New Roman" w:cs="Times New Roman"/>
          <w:bCs/>
          <w:color w:val="auto"/>
          <w:kern w:val="0"/>
          <w:szCs w:val="21"/>
          <w:highlight w:val="none"/>
        </w:rPr>
        <w:t>，</w:t>
      </w:r>
      <w:r>
        <w:rPr>
          <w:rFonts w:hint="eastAsia" w:ascii="宋体" w:hAnsi="宋体"/>
          <w:color w:val="auto"/>
          <w:szCs w:val="21"/>
        </w:rPr>
        <w:t>主要耗能为电</w:t>
      </w:r>
      <w:r>
        <w:rPr>
          <w:rFonts w:hint="eastAsia" w:ascii="宋体" w:hAnsi="宋体"/>
          <w:color w:val="auto"/>
          <w:szCs w:val="21"/>
          <w:lang w:eastAsia="zh-CN"/>
        </w:rPr>
        <w:t>和水</w:t>
      </w:r>
      <w:r>
        <w:rPr>
          <w:rFonts w:hint="eastAsia" w:ascii="宋体" w:hAnsi="宋体"/>
          <w:color w:val="auto"/>
          <w:szCs w:val="21"/>
        </w:rPr>
        <w:t>；</w:t>
      </w:r>
      <w:r>
        <w:rPr>
          <w:rFonts w:hint="eastAsia" w:ascii="宋体" w:hAnsi="宋体" w:cs="宋体"/>
          <w:bCs/>
          <w:color w:val="auto"/>
          <w:kern w:val="0"/>
          <w:szCs w:val="21"/>
        </w:rPr>
        <w:t>企业</w:t>
      </w:r>
      <w:r>
        <w:rPr>
          <w:rFonts w:hint="eastAsia" w:ascii="宋体" w:hAnsi="宋体" w:cs="宋体"/>
          <w:bCs/>
          <w:color w:val="auto"/>
          <w:kern w:val="0"/>
          <w:szCs w:val="21"/>
          <w:lang w:val="en-US" w:eastAsia="zh-CN"/>
        </w:rPr>
        <w:t>2020年1月至2020年12月</w:t>
      </w:r>
      <w:r>
        <w:rPr>
          <w:rFonts w:hint="eastAsia" w:ascii="宋体" w:hAnsi="宋体" w:cs="宋体"/>
          <w:bCs/>
          <w:color w:val="auto"/>
          <w:kern w:val="0"/>
          <w:szCs w:val="21"/>
        </w:rPr>
        <w:t>耗能为</w:t>
      </w:r>
      <w:r>
        <w:rPr>
          <w:rFonts w:hint="eastAsia" w:ascii="宋体" w:hAnsi="宋体" w:cs="宋体"/>
          <w:bCs/>
          <w:color w:val="auto"/>
          <w:kern w:val="0"/>
          <w:szCs w:val="21"/>
          <w:highlight w:val="none"/>
          <w:lang w:val="en-US" w:eastAsia="zh-CN"/>
        </w:rPr>
        <w:t>5.58</w:t>
      </w:r>
      <w:r>
        <w:rPr>
          <w:rFonts w:hint="eastAsia" w:ascii="宋体" w:hAnsi="宋体" w:cs="宋体"/>
          <w:bCs/>
          <w:color w:val="auto"/>
          <w:kern w:val="0"/>
          <w:szCs w:val="21"/>
          <w:highlight w:val="none"/>
        </w:rPr>
        <w:t>吨标煤</w:t>
      </w:r>
      <w:r>
        <w:rPr>
          <w:rFonts w:hint="eastAsia" w:ascii="宋体" w:hAnsi="宋体"/>
          <w:color w:val="auto"/>
          <w:szCs w:val="21"/>
          <w:highlight w:val="none"/>
        </w:rPr>
        <w:t>。不</w:t>
      </w:r>
      <w:r>
        <w:rPr>
          <w:rFonts w:hint="eastAsia" w:ascii="宋体" w:hAnsi="宋体"/>
          <w:color w:val="auto"/>
          <w:szCs w:val="21"/>
        </w:rPr>
        <w:t>是重点用能单位。</w:t>
      </w:r>
      <w:r>
        <w:rPr>
          <w:rFonts w:ascii="Times New Roman" w:hAnsi="Times New Roman" w:cs="Times New Roman"/>
          <w:bCs/>
          <w:color w:val="auto"/>
          <w:kern w:val="0"/>
          <w:szCs w:val="21"/>
          <w:highlight w:val="none"/>
        </w:rPr>
        <w:t>能源设备配备率和检测率满足标准要求。</w:t>
      </w:r>
    </w:p>
    <w:p>
      <w:pPr>
        <w:widowControl/>
        <w:spacing w:line="360" w:lineRule="auto"/>
        <w:ind w:firstLine="420" w:firstLineChars="200"/>
        <w:rPr>
          <w:rFonts w:ascii="Times New Roman" w:hAnsi="Times New Roman" w:cs="Times New Roman"/>
          <w:bCs/>
          <w:color w:val="auto"/>
          <w:kern w:val="0"/>
          <w:szCs w:val="21"/>
        </w:rPr>
      </w:pP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 xml:space="preserve">三、监督审核结论意见(含需要说明的事项): </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通过202</w:t>
      </w:r>
      <w:r>
        <w:rPr>
          <w:rFonts w:hint="eastAsia" w:ascii="Times New Roman" w:hAnsi="Times New Roman" w:cs="Times New Roman"/>
          <w:bCs/>
          <w:kern w:val="0"/>
          <w:szCs w:val="21"/>
          <w:lang w:val="en-US" w:eastAsia="zh-CN"/>
        </w:rPr>
        <w:t>1</w:t>
      </w:r>
      <w:r>
        <w:rPr>
          <w:rFonts w:hint="eastAsia" w:ascii="Times New Roman" w:hAnsi="Times New Roman" w:cs="Times New Roman"/>
          <w:bCs/>
          <w:kern w:val="0"/>
          <w:szCs w:val="21"/>
          <w:lang w:eastAsia="zh-CN"/>
        </w:rPr>
        <w:t>年</w:t>
      </w:r>
      <w:r>
        <w:rPr>
          <w:rFonts w:hint="eastAsia" w:ascii="Times New Roman" w:hAnsi="Times New Roman" w:cs="Times New Roman"/>
          <w:bCs/>
          <w:kern w:val="0"/>
          <w:szCs w:val="21"/>
          <w:lang w:val="en-US" w:eastAsia="zh-CN"/>
        </w:rPr>
        <w:t>02</w:t>
      </w:r>
      <w:r>
        <w:rPr>
          <w:rFonts w:ascii="Times New Roman" w:hAnsi="Times New Roman" w:cs="Times New Roman"/>
          <w:bCs/>
          <w:kern w:val="0"/>
          <w:szCs w:val="21"/>
        </w:rPr>
        <w:t>月</w:t>
      </w:r>
      <w:r>
        <w:rPr>
          <w:rFonts w:hint="eastAsia" w:ascii="Times New Roman" w:hAnsi="Times New Roman" w:cs="Times New Roman"/>
          <w:bCs/>
          <w:kern w:val="0"/>
          <w:szCs w:val="21"/>
          <w:lang w:val="en-US" w:eastAsia="zh-CN"/>
        </w:rPr>
        <w:t>21</w:t>
      </w:r>
      <w:r>
        <w:rPr>
          <w:rFonts w:ascii="Times New Roman" w:hAnsi="Times New Roman" w:cs="Times New Roman"/>
          <w:bCs/>
          <w:kern w:val="0"/>
          <w:szCs w:val="21"/>
        </w:rPr>
        <w:t>日，对</w:t>
      </w:r>
      <w:r>
        <w:rPr>
          <w:rFonts w:hint="eastAsia" w:ascii="Times New Roman" w:hAnsi="Times New Roman" w:cs="Times New Roman"/>
          <w:bCs/>
          <w:kern w:val="0"/>
          <w:szCs w:val="21"/>
          <w:lang w:eastAsia="zh-CN"/>
        </w:rPr>
        <w:t>东营金丰正阳科技发展有限公司</w:t>
      </w:r>
      <w:r>
        <w:rPr>
          <w:rFonts w:ascii="Times New Roman" w:hAnsi="Times New Roman" w:cs="Times New Roman"/>
          <w:bCs/>
          <w:kern w:val="0"/>
          <w:szCs w:val="21"/>
        </w:rPr>
        <w:t>测量管理</w:t>
      </w:r>
      <w:r>
        <w:rPr>
          <w:rFonts w:hint="eastAsia" w:ascii="Times New Roman" w:hAnsi="Times New Roman" w:cs="Times New Roman"/>
          <w:bCs/>
          <w:kern w:val="0"/>
          <w:szCs w:val="21"/>
          <w:lang w:eastAsia="zh-CN"/>
        </w:rPr>
        <w:t>体系</w:t>
      </w:r>
      <w:r>
        <w:rPr>
          <w:rFonts w:ascii="Times New Roman" w:hAnsi="Times New Roman" w:cs="Times New Roman"/>
          <w:bCs/>
          <w:kern w:val="0"/>
          <w:szCs w:val="21"/>
        </w:rPr>
        <w:t>监督</w:t>
      </w:r>
      <w:r>
        <w:rPr>
          <w:rFonts w:hint="eastAsia" w:ascii="Times New Roman" w:hAnsi="Times New Roman" w:cs="Times New Roman"/>
          <w:bCs/>
          <w:kern w:val="0"/>
          <w:szCs w:val="21"/>
          <w:lang w:val="en-US" w:eastAsia="zh-CN"/>
        </w:rPr>
        <w:t>+</w:t>
      </w:r>
      <w:r>
        <w:rPr>
          <w:rFonts w:hint="eastAsia" w:ascii="Times New Roman" w:hAnsi="Times New Roman" w:cs="Times New Roman"/>
          <w:bCs/>
          <w:kern w:val="0"/>
          <w:szCs w:val="21"/>
          <w:lang w:eastAsia="zh-CN"/>
        </w:rPr>
        <w:t>扩项</w:t>
      </w:r>
      <w:r>
        <w:rPr>
          <w:rFonts w:ascii="Times New Roman" w:hAnsi="Times New Roman" w:cs="Times New Roman"/>
          <w:bCs/>
          <w:kern w:val="0"/>
          <w:szCs w:val="21"/>
        </w:rPr>
        <w:t>审核，验证了公司在测量管理体系在</w:t>
      </w:r>
      <w:r>
        <w:rPr>
          <w:rFonts w:hint="eastAsia" w:ascii="Times New Roman" w:hAnsi="Times New Roman" w:cs="Times New Roman"/>
          <w:bCs/>
          <w:kern w:val="0"/>
          <w:szCs w:val="21"/>
          <w:lang w:eastAsia="zh-CN"/>
        </w:rPr>
        <w:t>认证</w:t>
      </w:r>
      <w:r>
        <w:rPr>
          <w:rFonts w:ascii="Times New Roman" w:hAnsi="Times New Roman" w:cs="Times New Roman"/>
          <w:bCs/>
          <w:kern w:val="0"/>
          <w:szCs w:val="21"/>
        </w:rPr>
        <w:t>审核后一年内，公司领导重视体系运行和管理，体系文件得到有效实施；关键测量过程持续监控、监视方法正确有效，重要测量人员能力受控，测量设备、测量环境、测量软件、测量记录及外部供方管理等各项工作，比</w:t>
      </w:r>
      <w:r>
        <w:rPr>
          <w:rFonts w:hint="eastAsia" w:ascii="Times New Roman" w:hAnsi="Times New Roman" w:cs="Times New Roman"/>
          <w:bCs/>
          <w:kern w:val="0"/>
          <w:szCs w:val="21"/>
          <w:lang w:eastAsia="zh-CN"/>
        </w:rPr>
        <w:t>上年认证后</w:t>
      </w:r>
      <w:r>
        <w:rPr>
          <w:rFonts w:ascii="Times New Roman" w:hAnsi="Times New Roman" w:cs="Times New Roman"/>
          <w:bCs/>
          <w:kern w:val="0"/>
          <w:szCs w:val="21"/>
        </w:rPr>
        <w:t>更加完善和规范，使公司测量体系持续满足顾客的测量要求。综上所述，审核组认为，</w:t>
      </w:r>
      <w:r>
        <w:rPr>
          <w:rFonts w:hint="eastAsia" w:ascii="Times New Roman" w:hAnsi="Times New Roman" w:cs="Times New Roman"/>
          <w:bCs/>
          <w:kern w:val="0"/>
          <w:szCs w:val="21"/>
          <w:lang w:eastAsia="zh-CN"/>
        </w:rPr>
        <w:t>东营金丰正阳科技发展有限公司</w:t>
      </w:r>
      <w:r>
        <w:rPr>
          <w:rFonts w:ascii="Times New Roman" w:hAnsi="Times New Roman" w:cs="Times New Roman"/>
          <w:bCs/>
          <w:kern w:val="0"/>
          <w:szCs w:val="21"/>
        </w:rPr>
        <w:t>，符合GB/T 19022-2003标准要求，对体系运行具有持续的有效性、符合性予以肯定。建议报请国标联合认证有限公司批准通过202</w:t>
      </w:r>
      <w:r>
        <w:rPr>
          <w:rFonts w:hint="eastAsia" w:ascii="Times New Roman" w:hAnsi="Times New Roman" w:cs="Times New Roman"/>
          <w:bCs/>
          <w:kern w:val="0"/>
          <w:szCs w:val="21"/>
          <w:lang w:val="en-US" w:eastAsia="zh-CN"/>
        </w:rPr>
        <w:t>1</w:t>
      </w:r>
      <w:r>
        <w:rPr>
          <w:rFonts w:ascii="Times New Roman" w:hAnsi="Times New Roman" w:cs="Times New Roman"/>
          <w:bCs/>
          <w:kern w:val="0"/>
          <w:szCs w:val="21"/>
        </w:rPr>
        <w:t>年度监督审核。</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为了促进支持企业测量管理体系持续提高，提出以下建议：</w:t>
      </w:r>
    </w:p>
    <w:p>
      <w:pPr>
        <w:widowControl/>
        <w:numPr>
          <w:ilvl w:val="0"/>
          <w:numId w:val="0"/>
        </w:numPr>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继续对企业内从原材料进厂检验、生产过程控制、产品出厂检验等环节的测量过程进行识别并确认验证，增加测量设备参与全过程管理的内容，使计量、质量管理工作融为一体，便于进一步提升企业管理水平和提高产品质量。</w:t>
      </w:r>
    </w:p>
    <w:p>
      <w:pPr>
        <w:widowControl/>
        <w:spacing w:line="276" w:lineRule="auto"/>
        <w:ind w:right="945"/>
        <w:jc w:val="right"/>
        <w:rPr>
          <w:rFonts w:ascii="Times New Roman" w:hAnsi="Times New Roman" w:eastAsia="宋体" w:cs="Times New Roman"/>
          <w:kern w:val="0"/>
          <w:szCs w:val="28"/>
        </w:rPr>
      </w:pPr>
    </w:p>
    <w:p>
      <w:pPr>
        <w:widowControl/>
        <w:spacing w:line="276" w:lineRule="auto"/>
        <w:jc w:val="left"/>
        <w:rPr>
          <w:rFonts w:ascii="Times New Roman" w:hAnsi="Times New Roman" w:eastAsia="宋体" w:cs="Times New Roman"/>
          <w:b/>
          <w:kern w:val="0"/>
          <w:szCs w:val="28"/>
        </w:rPr>
      </w:pPr>
    </w:p>
    <w:p>
      <w:pPr>
        <w:widowControl/>
        <w:spacing w:line="276" w:lineRule="auto"/>
        <w:jc w:val="left"/>
        <w:rPr>
          <w:rFonts w:hint="default" w:ascii="Times New Roman" w:hAnsi="Times New Roman" w:eastAsia="宋体" w:cs="Times New Roman"/>
          <w:b/>
          <w:kern w:val="0"/>
          <w:szCs w:val="28"/>
          <w:lang w:val="en-US" w:eastAsia="zh-CN"/>
        </w:rPr>
      </w:pPr>
      <w:r>
        <w:rPr>
          <w:rFonts w:ascii="Times New Roman" w:hAnsi="Times New Roman" w:eastAsia="宋体" w:cs="Times New Roman"/>
          <w:b/>
          <w:kern w:val="0"/>
          <w:szCs w:val="28"/>
        </w:rPr>
        <w:t>审核员 （签字）：</w:t>
      </w:r>
      <w:r>
        <w:rPr>
          <w:rFonts w:hint="eastAsia" w:ascii="Times New Roman" w:hAnsi="Times New Roman" w:eastAsia="宋体" w:cs="Times New Roman"/>
          <w:b/>
          <w:kern w:val="0"/>
          <w:szCs w:val="28"/>
          <w:lang w:val="en-US" w:eastAsia="zh-CN"/>
        </w:rPr>
        <w:t xml:space="preserve">  </w:t>
      </w:r>
      <w:r>
        <w:rPr>
          <w:rFonts w:hint="eastAsia" w:ascii="Times New Roman" w:hAnsi="Times New Roman" w:eastAsia="宋体" w:cs="Times New Roman"/>
          <w:sz w:val="21"/>
          <w:szCs w:val="21"/>
          <w:u w:val="none"/>
          <w:lang w:eastAsia="zh-CN"/>
        </w:rPr>
        <w:drawing>
          <wp:inline distT="0" distB="0" distL="114300" distR="114300">
            <wp:extent cx="571500" cy="3810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71500" cy="381000"/>
                    </a:xfrm>
                    <a:prstGeom prst="rect">
                      <a:avLst/>
                    </a:prstGeom>
                    <a:noFill/>
                    <a:ln>
                      <a:noFill/>
                    </a:ln>
                  </pic:spPr>
                </pic:pic>
              </a:graphicData>
            </a:graphic>
          </wp:inline>
        </w:drawing>
      </w:r>
      <w:r>
        <w:rPr>
          <w:rFonts w:hint="eastAsia" w:ascii="Times New Roman" w:hAnsi="Times New Roman" w:eastAsia="宋体" w:cs="Times New Roman"/>
          <w:b/>
          <w:kern w:val="0"/>
          <w:szCs w:val="28"/>
          <w:lang w:val="en-US" w:eastAsia="zh-CN"/>
        </w:rPr>
        <w:t xml:space="preserve">           </w:t>
      </w:r>
      <w:r>
        <w:rPr>
          <w:rFonts w:hint="eastAsia" w:ascii="宋体" w:hAnsi="宋体" w:eastAsia="宋体" w:cs="宋体"/>
          <w:color w:val="000000"/>
          <w:kern w:val="0"/>
          <w:sz w:val="20"/>
          <w:szCs w:val="20"/>
          <w:lang w:val="en-US" w:eastAsia="zh-CN"/>
        </w:rPr>
        <w:t xml:space="preserve">                </w:t>
      </w:r>
      <w:r>
        <w:rPr>
          <w:rFonts w:ascii="Times New Roman" w:hAnsi="Times New Roman" w:eastAsia="宋体" w:cs="Times New Roman"/>
          <w:kern w:val="0"/>
          <w:szCs w:val="28"/>
        </w:rPr>
        <w:t xml:space="preserve">  日期：</w:t>
      </w:r>
      <w:r>
        <w:rPr>
          <w:rFonts w:hint="eastAsia" w:ascii="Times New Roman" w:hAnsi="Times New Roman" w:eastAsia="宋体" w:cs="Times New Roman"/>
          <w:kern w:val="0"/>
          <w:szCs w:val="28"/>
          <w:lang w:val="en-US" w:eastAsia="zh-CN"/>
        </w:rPr>
        <w:t>2021.02.21</w:t>
      </w:r>
    </w:p>
    <w:p>
      <w:pPr>
        <w:widowControl/>
        <w:spacing w:line="276" w:lineRule="auto"/>
        <w:ind w:right="945"/>
        <w:jc w:val="left"/>
        <w:rPr>
          <w:rFonts w:ascii="Times New Roman" w:hAnsi="Times New Roman" w:eastAsia="宋体" w:cs="Times New Roman"/>
          <w:b/>
          <w:kern w:val="0"/>
          <w:szCs w:val="28"/>
        </w:rPr>
      </w:pPr>
    </w:p>
    <w:p>
      <w:pPr>
        <w:widowControl/>
        <w:spacing w:line="276" w:lineRule="auto"/>
        <w:ind w:right="945"/>
        <w:jc w:val="left"/>
        <w:rPr>
          <w:rFonts w:ascii="Times New Roman" w:hAnsi="Times New Roman" w:eastAsia="宋体" w:cs="Times New Roman"/>
          <w:b/>
          <w:kern w:val="0"/>
          <w:szCs w:val="28"/>
        </w:rPr>
      </w:pPr>
    </w:p>
    <w:p>
      <w:pPr>
        <w:widowControl/>
        <w:spacing w:line="276" w:lineRule="auto"/>
        <w:ind w:right="1365"/>
        <w:rPr>
          <w:rFonts w:ascii="Times New Roman" w:hAnsi="Times New Roman" w:eastAsia="宋体" w:cs="Times New Roman"/>
          <w:kern w:val="0"/>
          <w:szCs w:val="21"/>
        </w:rPr>
      </w:pPr>
      <w:r>
        <w:rPr>
          <w:rFonts w:ascii="Times New Roman" w:hAnsi="Times New Roman" w:eastAsia="宋体" w:cs="Times New Roman"/>
          <w:b/>
          <w:bCs/>
          <w:kern w:val="0"/>
          <w:szCs w:val="21"/>
        </w:rPr>
        <w:t>报告审查人意见</w:t>
      </w:r>
    </w:p>
    <w:p>
      <w:pPr>
        <w:widowControl/>
        <w:spacing w:line="276" w:lineRule="auto"/>
        <w:ind w:firstLine="3118" w:firstLineChars="1485"/>
        <w:jc w:val="left"/>
        <w:rPr>
          <w:rFonts w:ascii="Times New Roman" w:hAnsi="Times New Roman" w:eastAsia="宋体" w:cs="Times New Roman"/>
          <w:kern w:val="0"/>
          <w:szCs w:val="28"/>
        </w:rPr>
      </w:pPr>
    </w:p>
    <w:p>
      <w:pPr>
        <w:widowControl/>
        <w:spacing w:line="276" w:lineRule="auto"/>
        <w:ind w:firstLine="3118" w:firstLineChars="1485"/>
        <w:jc w:val="left"/>
        <w:rPr>
          <w:rFonts w:ascii="Times New Roman" w:hAnsi="Times New Roman" w:eastAsia="宋体" w:cs="Times New Roman"/>
          <w:kern w:val="0"/>
          <w:szCs w:val="28"/>
        </w:rPr>
      </w:pPr>
      <w:r>
        <w:rPr>
          <w:rFonts w:ascii="Times New Roman" w:hAnsi="Times New Roman" w:eastAsia="宋体" w:cs="Times New Roman"/>
          <w:kern w:val="0"/>
          <w:szCs w:val="28"/>
        </w:rPr>
        <w:t>审查人员（签字）：                日期：</w:t>
      </w:r>
    </w:p>
    <w:p>
      <w:pPr>
        <w:widowControl/>
        <w:spacing w:line="276" w:lineRule="auto"/>
        <w:ind w:right="1050"/>
        <w:rPr>
          <w:rFonts w:ascii="Times New Roman" w:hAnsi="Times New Roman" w:eastAsia="宋体" w:cs="Times New Roman"/>
          <w:b/>
          <w:bCs/>
          <w:kern w:val="0"/>
          <w:szCs w:val="21"/>
        </w:rPr>
      </w:pPr>
    </w:p>
    <w:p>
      <w:pPr>
        <w:widowControl/>
        <w:spacing w:line="276" w:lineRule="auto"/>
        <w:ind w:right="1050"/>
        <w:rPr>
          <w:rFonts w:ascii="Times New Roman" w:hAnsi="Times New Roman" w:eastAsia="宋体" w:cs="Times New Roman"/>
          <w:b/>
          <w:bCs/>
          <w:kern w:val="0"/>
          <w:szCs w:val="21"/>
        </w:rPr>
      </w:pPr>
    </w:p>
    <w:p>
      <w:pPr>
        <w:widowControl/>
        <w:spacing w:line="276" w:lineRule="auto"/>
        <w:ind w:right="1050"/>
        <w:rPr>
          <w:rFonts w:ascii="Times New Roman" w:hAnsi="Times New Roman" w:eastAsia="宋体" w:cs="Times New Roman"/>
          <w:kern w:val="0"/>
          <w:szCs w:val="28"/>
        </w:rPr>
      </w:pPr>
      <w:r>
        <w:rPr>
          <w:rFonts w:ascii="Times New Roman" w:hAnsi="Times New Roman" w:eastAsia="宋体" w:cs="Times New Roman"/>
          <w:b/>
          <w:bCs/>
          <w:kern w:val="0"/>
          <w:szCs w:val="21"/>
        </w:rPr>
        <w:t>认证机构</w:t>
      </w:r>
      <w:r>
        <w:rPr>
          <w:rFonts w:ascii="Times New Roman" w:hAnsi="Times New Roman" w:eastAsia="宋体" w:cs="Times New Roman"/>
          <w:b/>
          <w:kern w:val="0"/>
          <w:szCs w:val="28"/>
        </w:rPr>
        <w:t>负责人</w:t>
      </w:r>
      <w:r>
        <w:rPr>
          <w:rFonts w:ascii="Times New Roman" w:hAnsi="Times New Roman" w:eastAsia="宋体" w:cs="Times New Roman"/>
          <w:kern w:val="0"/>
          <w:szCs w:val="28"/>
        </w:rPr>
        <w:t>(签字)：日期：</w:t>
      </w:r>
    </w:p>
    <w:sectPr>
      <w:headerReference r:id="rId3" w:type="default"/>
      <w:pgSz w:w="11906" w:h="16838"/>
      <w:pgMar w:top="1440" w:right="1558"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spacing w:line="320" w:lineRule="exact"/>
      <w:ind w:left="-86" w:leftChars="-41" w:firstLine="720" w:firstLineChars="400"/>
      <w:jc w:val="left"/>
    </w:pPr>
    <w:bookmarkStart w:id="4" w:name="OLE_LINK1"/>
    <w:r>
      <w:drawing>
        <wp:anchor distT="0" distB="0" distL="114300" distR="114300" simplePos="0" relativeHeight="251657216"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5"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4"/>
      <w:pBdr>
        <w:bottom w:val="none" w:color="auto" w:sz="0" w:space="0"/>
      </w:pBdr>
      <w:spacing w:line="320" w:lineRule="exact"/>
      <w:jc w:val="left"/>
      <w:rPr>
        <w:rStyle w:val="9"/>
        <w:rFonts w:hint="default" w:ascii="Times New Roman" w:hAnsi="Times New Roman" w:cs="Times New Roman"/>
        <w:szCs w:val="21"/>
      </w:rPr>
    </w:pPr>
    <w:r>
      <w:rPr>
        <w:sz w:val="21"/>
        <w:szCs w:val="21"/>
      </w:rPr>
      <w:pict>
        <v:shape id="文本框 1" o:spid="_x0000_s3073"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9"/>
        <w:rFonts w:hint="default" w:ascii="Times New Roman" w:hAnsi="Times New Roman" w:cs="Times New Roman"/>
        <w:szCs w:val="21"/>
      </w:rPr>
      <w:t>北京国标联合认证有限公司</w:t>
    </w:r>
  </w:p>
  <w:p>
    <w:pPr>
      <w:pStyle w:val="4"/>
      <w:pBdr>
        <w:bottom w:val="none" w:color="auto" w:sz="0" w:space="0"/>
      </w:pBdr>
      <w:spacing w:line="320" w:lineRule="exact"/>
      <w:jc w:val="left"/>
    </w:pPr>
    <w:r>
      <w:rPr>
        <w:rStyle w:val="9"/>
        <w:rFonts w:hint="default" w:ascii="Times New Roman" w:hAnsi="Times New Roman" w:cs="Times New Roman"/>
        <w:w w:val="80"/>
        <w:szCs w:val="21"/>
      </w:rPr>
      <w:t xml:space="preserve">Beijing International Standard united Certification Co.,Ltd. </w:t>
    </w:r>
  </w:p>
  <w:p>
    <w:pPr>
      <w:rPr>
        <w:sz w:val="18"/>
        <w:szCs w:val="18"/>
      </w:rPr>
    </w:pPr>
    <w:r>
      <w:rPr>
        <w:sz w:val="18"/>
      </w:rPr>
      <w:pict>
        <v:line id="直线 3" o:spid="_x0000_s3074" o:spt="20" style="position:absolute;left:0pt;margin-left:-23.7pt;margin-top:2.35pt;height:0.7pt;width:460.6pt;z-index:251658240;mso-width-relative:page;mso-height-relative:page;" coordsize="21600,21600">
          <v:path arrowok="t"/>
          <v:fill focussize="0,0"/>
          <v:stroke/>
          <v:imagedata o:title=""/>
          <o:lock v:ext="edit"/>
        </v:line>
      </w:pict>
    </w:r>
    <w:bookmarkEnd w:id="4"/>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4FA352"/>
    <w:multiLevelType w:val="singleLevel"/>
    <w:tmpl w:val="704FA352"/>
    <w:lvl w:ilvl="0" w:tentative="0">
      <w:start w:val="8"/>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076A8"/>
    <w:rsid w:val="000376B5"/>
    <w:rsid w:val="000F6AC3"/>
    <w:rsid w:val="000F77E1"/>
    <w:rsid w:val="001341C4"/>
    <w:rsid w:val="0024174F"/>
    <w:rsid w:val="002D0FBE"/>
    <w:rsid w:val="002E5C69"/>
    <w:rsid w:val="0031048C"/>
    <w:rsid w:val="003D292D"/>
    <w:rsid w:val="003F1E8A"/>
    <w:rsid w:val="00451E2E"/>
    <w:rsid w:val="00461B80"/>
    <w:rsid w:val="00494378"/>
    <w:rsid w:val="005343F0"/>
    <w:rsid w:val="00575ACA"/>
    <w:rsid w:val="005D235D"/>
    <w:rsid w:val="00634907"/>
    <w:rsid w:val="006563FB"/>
    <w:rsid w:val="00706B00"/>
    <w:rsid w:val="00762596"/>
    <w:rsid w:val="00764373"/>
    <w:rsid w:val="00781C2E"/>
    <w:rsid w:val="007A4A41"/>
    <w:rsid w:val="00831ED4"/>
    <w:rsid w:val="0086107A"/>
    <w:rsid w:val="00874822"/>
    <w:rsid w:val="008A674E"/>
    <w:rsid w:val="008D3B63"/>
    <w:rsid w:val="00933645"/>
    <w:rsid w:val="009377C1"/>
    <w:rsid w:val="00957D1B"/>
    <w:rsid w:val="00A10BBB"/>
    <w:rsid w:val="00A73031"/>
    <w:rsid w:val="00A803D3"/>
    <w:rsid w:val="00B076A8"/>
    <w:rsid w:val="00B542E0"/>
    <w:rsid w:val="00B96359"/>
    <w:rsid w:val="00BE399A"/>
    <w:rsid w:val="00BF1723"/>
    <w:rsid w:val="00C50636"/>
    <w:rsid w:val="00CA7DE0"/>
    <w:rsid w:val="00D0513C"/>
    <w:rsid w:val="00D45932"/>
    <w:rsid w:val="00DD6B98"/>
    <w:rsid w:val="00E866CE"/>
    <w:rsid w:val="00F21006"/>
    <w:rsid w:val="00F57CB9"/>
    <w:rsid w:val="00FB7DB4"/>
    <w:rsid w:val="01785DCC"/>
    <w:rsid w:val="02B05F36"/>
    <w:rsid w:val="02B06A5F"/>
    <w:rsid w:val="02D61858"/>
    <w:rsid w:val="060A2C1F"/>
    <w:rsid w:val="06255583"/>
    <w:rsid w:val="069E5AB7"/>
    <w:rsid w:val="07694193"/>
    <w:rsid w:val="07CB0C61"/>
    <w:rsid w:val="093022F8"/>
    <w:rsid w:val="0AAC43F2"/>
    <w:rsid w:val="0B6A287A"/>
    <w:rsid w:val="0B9C159A"/>
    <w:rsid w:val="0C4A062D"/>
    <w:rsid w:val="0CF4221B"/>
    <w:rsid w:val="0D335818"/>
    <w:rsid w:val="0DFC7968"/>
    <w:rsid w:val="0E553E18"/>
    <w:rsid w:val="0E8A307E"/>
    <w:rsid w:val="0FF0784E"/>
    <w:rsid w:val="10514274"/>
    <w:rsid w:val="106725C6"/>
    <w:rsid w:val="10CC502F"/>
    <w:rsid w:val="10F52E13"/>
    <w:rsid w:val="110C45FB"/>
    <w:rsid w:val="11550A66"/>
    <w:rsid w:val="1193589A"/>
    <w:rsid w:val="12114279"/>
    <w:rsid w:val="13B07256"/>
    <w:rsid w:val="147A5742"/>
    <w:rsid w:val="14AF6172"/>
    <w:rsid w:val="15217ADC"/>
    <w:rsid w:val="15501560"/>
    <w:rsid w:val="158D185E"/>
    <w:rsid w:val="17A21EC4"/>
    <w:rsid w:val="17E86A55"/>
    <w:rsid w:val="191875B9"/>
    <w:rsid w:val="192F5B1C"/>
    <w:rsid w:val="1A9066D8"/>
    <w:rsid w:val="1ACB2E07"/>
    <w:rsid w:val="1B6E0BCC"/>
    <w:rsid w:val="1DB528F4"/>
    <w:rsid w:val="1E8D2076"/>
    <w:rsid w:val="1F96490F"/>
    <w:rsid w:val="1FD87C5A"/>
    <w:rsid w:val="202E5BEC"/>
    <w:rsid w:val="205A621D"/>
    <w:rsid w:val="221F4A52"/>
    <w:rsid w:val="22D6310F"/>
    <w:rsid w:val="234C1DE6"/>
    <w:rsid w:val="236837F1"/>
    <w:rsid w:val="24F53972"/>
    <w:rsid w:val="26D61E0E"/>
    <w:rsid w:val="273B2EC4"/>
    <w:rsid w:val="290D70F9"/>
    <w:rsid w:val="294A7B5F"/>
    <w:rsid w:val="29EC5CDB"/>
    <w:rsid w:val="2CAB432C"/>
    <w:rsid w:val="2DD74E91"/>
    <w:rsid w:val="2E000AD3"/>
    <w:rsid w:val="2E92798F"/>
    <w:rsid w:val="2E94229B"/>
    <w:rsid w:val="2EE23BD1"/>
    <w:rsid w:val="30DE05E1"/>
    <w:rsid w:val="31BE3393"/>
    <w:rsid w:val="32147755"/>
    <w:rsid w:val="33947CD2"/>
    <w:rsid w:val="34D4260D"/>
    <w:rsid w:val="367709AC"/>
    <w:rsid w:val="36823C9C"/>
    <w:rsid w:val="37596989"/>
    <w:rsid w:val="378B295A"/>
    <w:rsid w:val="37C53059"/>
    <w:rsid w:val="38505CE2"/>
    <w:rsid w:val="38B518FA"/>
    <w:rsid w:val="38E460E2"/>
    <w:rsid w:val="39364992"/>
    <w:rsid w:val="3A8F40F6"/>
    <w:rsid w:val="3AF34A65"/>
    <w:rsid w:val="3B6C0871"/>
    <w:rsid w:val="3D8C65CA"/>
    <w:rsid w:val="3F5A39F0"/>
    <w:rsid w:val="3F5A7BBB"/>
    <w:rsid w:val="3FD079A4"/>
    <w:rsid w:val="410611B0"/>
    <w:rsid w:val="4119198D"/>
    <w:rsid w:val="415E78AA"/>
    <w:rsid w:val="42C727C5"/>
    <w:rsid w:val="43584738"/>
    <w:rsid w:val="4453192D"/>
    <w:rsid w:val="44D943E8"/>
    <w:rsid w:val="46425F4D"/>
    <w:rsid w:val="46FF1A20"/>
    <w:rsid w:val="478068A7"/>
    <w:rsid w:val="47B32C1A"/>
    <w:rsid w:val="47B758BF"/>
    <w:rsid w:val="4B646F95"/>
    <w:rsid w:val="4CD650EE"/>
    <w:rsid w:val="4D3B07E4"/>
    <w:rsid w:val="4DF83EDC"/>
    <w:rsid w:val="4E2C127C"/>
    <w:rsid w:val="4E450A7C"/>
    <w:rsid w:val="4F4C158E"/>
    <w:rsid w:val="4F966158"/>
    <w:rsid w:val="50975894"/>
    <w:rsid w:val="50AB3606"/>
    <w:rsid w:val="52450263"/>
    <w:rsid w:val="52CF4CBD"/>
    <w:rsid w:val="52EB75A4"/>
    <w:rsid w:val="55C948E7"/>
    <w:rsid w:val="560936BF"/>
    <w:rsid w:val="56BD4064"/>
    <w:rsid w:val="57B34F29"/>
    <w:rsid w:val="584066CD"/>
    <w:rsid w:val="584D186F"/>
    <w:rsid w:val="59EE788F"/>
    <w:rsid w:val="5A335F8D"/>
    <w:rsid w:val="5A4E23BB"/>
    <w:rsid w:val="5AEA42C2"/>
    <w:rsid w:val="5C132391"/>
    <w:rsid w:val="5DA46180"/>
    <w:rsid w:val="5EB96A2D"/>
    <w:rsid w:val="60C64E46"/>
    <w:rsid w:val="62BA3AD0"/>
    <w:rsid w:val="63C16F8E"/>
    <w:rsid w:val="63FC6CAF"/>
    <w:rsid w:val="653A5005"/>
    <w:rsid w:val="654B5DFD"/>
    <w:rsid w:val="65C01B44"/>
    <w:rsid w:val="660C5331"/>
    <w:rsid w:val="67785AFC"/>
    <w:rsid w:val="6969605B"/>
    <w:rsid w:val="6A3C3986"/>
    <w:rsid w:val="6B9A7111"/>
    <w:rsid w:val="6CC32C31"/>
    <w:rsid w:val="6F264392"/>
    <w:rsid w:val="6F2A687E"/>
    <w:rsid w:val="6FCF21C7"/>
    <w:rsid w:val="70C73DB5"/>
    <w:rsid w:val="729F40AE"/>
    <w:rsid w:val="73877C76"/>
    <w:rsid w:val="738E408B"/>
    <w:rsid w:val="7405196C"/>
    <w:rsid w:val="74062830"/>
    <w:rsid w:val="74243E8A"/>
    <w:rsid w:val="7567525C"/>
    <w:rsid w:val="75E04B0D"/>
    <w:rsid w:val="77555FF3"/>
    <w:rsid w:val="784E5A3C"/>
    <w:rsid w:val="788E567B"/>
    <w:rsid w:val="79D365C5"/>
    <w:rsid w:val="79E91D60"/>
    <w:rsid w:val="7AE25BD9"/>
    <w:rsid w:val="7B63548B"/>
    <w:rsid w:val="7CB55D5F"/>
    <w:rsid w:val="7EA333B8"/>
    <w:rsid w:val="7EEE16D3"/>
    <w:rsid w:val="7F6C75C7"/>
    <w:rsid w:val="7FED4C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F1F892-1EF2-4226-AA03-C52D1D8CEDA8}">
  <ds:schemaRefs/>
</ds:datastoreItem>
</file>

<file path=docProps/app.xml><?xml version="1.0" encoding="utf-8"?>
<Properties xmlns="http://schemas.openxmlformats.org/officeDocument/2006/extended-properties" xmlns:vt="http://schemas.openxmlformats.org/officeDocument/2006/docPropsVTypes">
  <Template>Normal.dotm</Template>
  <Pages>5</Pages>
  <Words>459</Words>
  <Characters>2619</Characters>
  <Lines>21</Lines>
  <Paragraphs>6</Paragraphs>
  <TotalTime>11</TotalTime>
  <ScaleCrop>false</ScaleCrop>
  <LinksUpToDate>false</LinksUpToDate>
  <CharactersWithSpaces>3072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乐言</cp:lastModifiedBy>
  <cp:lastPrinted>2017-09-01T06:24:00Z</cp:lastPrinted>
  <dcterms:modified xsi:type="dcterms:W3CDTF">2021-02-23T03:50:32Z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