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武汉加百利自动化工程技术有限公司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O：33.02.04</w:t>
            </w:r>
          </w:p>
          <w:p>
            <w:pPr>
              <w:snapToGrid w:val="0"/>
              <w:spacing w:line="280" w:lineRule="exact"/>
              <w:ind w:left="52"/>
              <w:jc w:val="center"/>
              <w:rPr>
                <w:b/>
                <w:sz w:val="20"/>
              </w:rPr>
            </w:pPr>
            <w:r>
              <w:rPr>
                <w:b/>
                <w:sz w:val="20"/>
              </w:rPr>
              <w:t>E：33.02.04</w:t>
            </w:r>
          </w:p>
          <w:p>
            <w:pPr>
              <w:snapToGrid w:val="0"/>
              <w:spacing w:line="280" w:lineRule="exact"/>
              <w:ind w:left="52"/>
              <w:jc w:val="center"/>
              <w:rPr>
                <w:b/>
                <w:sz w:val="20"/>
              </w:rPr>
            </w:pPr>
            <w:r>
              <w:rPr>
                <w:b/>
                <w:sz w:val="20"/>
              </w:rPr>
              <w:t>Q：33.02.04</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b/>
                <w:sz w:val="20"/>
              </w:rPr>
            </w:pPr>
            <w:r>
              <w:rPr>
                <w:sz w:val="20"/>
              </w:rPr>
              <w:t>谭琼</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O：33.02.04</w:t>
            </w:r>
          </w:p>
          <w:p>
            <w:pPr>
              <w:snapToGrid w:val="0"/>
              <w:spacing w:line="280" w:lineRule="exact"/>
              <w:ind w:left="52"/>
              <w:jc w:val="center"/>
              <w:rPr>
                <w:b/>
                <w:sz w:val="20"/>
              </w:rPr>
            </w:pPr>
            <w:r>
              <w:rPr>
                <w:b/>
                <w:sz w:val="20"/>
              </w:rPr>
              <w:t>E：33.02.04</w:t>
            </w:r>
          </w:p>
          <w:p>
            <w:pPr>
              <w:snapToGrid w:val="0"/>
              <w:spacing w:line="280" w:lineRule="exact"/>
              <w:jc w:val="center"/>
              <w:rPr>
                <w:b/>
                <w:sz w:val="20"/>
              </w:rPr>
            </w:pPr>
            <w:r>
              <w:rPr>
                <w:b/>
                <w:sz w:val="20"/>
              </w:rPr>
              <w:t>Q：33.02.04</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远程</w:t>
            </w:r>
            <w:bookmarkStart w:id="6" w:name="_GoBack"/>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张磊</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rPr>
                <w:rFonts w:hint="eastAsia"/>
                <w:b/>
                <w:sz w:val="20"/>
              </w:rPr>
            </w:pPr>
            <w:r>
              <w:rPr>
                <w:rFonts w:hint="eastAsia"/>
                <w:b/>
                <w:sz w:val="20"/>
              </w:rPr>
              <w:t>投标➙与客户签订合同➙确认方案➙产品设计★➙图纸、规范、说明书等➙原材料采购➙工业控制系统集成 ➙调试➙交付➙售后服务</w:t>
            </w:r>
          </w:p>
          <w:p>
            <w:pPr>
              <w:snapToGrid w:val="0"/>
              <w:spacing w:line="280" w:lineRule="exact"/>
              <w:rPr>
                <w:rFonts w:hint="eastAsia"/>
                <w:b/>
                <w:sz w:val="20"/>
              </w:rPr>
            </w:pPr>
            <w:r>
              <w:rPr>
                <w:rFonts w:hint="eastAsia"/>
                <w:b/>
                <w:sz w:val="20"/>
              </w:rPr>
              <w:t>投标➙与客户签订合同➙确认方案➙产品设计★➙图纸、规范、说明书等➙原材料采购➙工业自动化仪器仪表调试➙交付➙售后服务</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6"/>
            <w:vAlign w:val="center"/>
          </w:tcPr>
          <w:p>
            <w:pPr>
              <w:snapToGrid w:val="0"/>
              <w:spacing w:line="280" w:lineRule="exact"/>
              <w:jc w:val="center"/>
              <w:rPr>
                <w:b/>
                <w:sz w:val="20"/>
              </w:rPr>
            </w:pPr>
            <w:r>
              <w:rPr>
                <w:rFonts w:hint="eastAsia"/>
                <w:b/>
                <w:sz w:val="20"/>
                <w:lang w:val="en-US" w:eastAsia="zh-CN"/>
              </w:rPr>
              <w:t>风险点：调试系统不能满足设计或使用要求；措施：进行调试后测量及验收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napToGrid w:val="0"/>
              <w:spacing w:line="280" w:lineRule="exact"/>
              <w:jc w:val="left"/>
              <w:rPr>
                <w:rFonts w:hint="eastAsia"/>
                <w:b/>
                <w:sz w:val="20"/>
                <w:szCs w:val="22"/>
                <w:lang w:val="en-US" w:eastAsia="zh-CN"/>
              </w:rPr>
            </w:pPr>
            <w:r>
              <w:rPr>
                <w:rFonts w:hint="eastAsia"/>
                <w:b/>
                <w:sz w:val="20"/>
                <w:szCs w:val="22"/>
                <w:lang w:val="en-US" w:eastAsia="zh-CN"/>
              </w:rPr>
              <w:t>1.施工过程大气污染能源的消耗；措施：建立生产现场环境保护管理制度；</w:t>
            </w:r>
          </w:p>
          <w:p>
            <w:pPr>
              <w:snapToGrid w:val="0"/>
              <w:spacing w:line="280" w:lineRule="exact"/>
              <w:jc w:val="left"/>
              <w:rPr>
                <w:rFonts w:hint="default"/>
                <w:b/>
                <w:sz w:val="20"/>
                <w:szCs w:val="22"/>
                <w:lang w:val="en-US" w:eastAsia="zh-CN"/>
              </w:rPr>
            </w:pPr>
            <w:r>
              <w:rPr>
                <w:rFonts w:hint="eastAsia"/>
                <w:b/>
                <w:sz w:val="20"/>
                <w:szCs w:val="22"/>
                <w:lang w:val="en-US" w:eastAsia="zh-CN"/>
              </w:rPr>
              <w:t>节约能源； 2施工过程噪声排放，措施：建立环境保护管理规定；噪声隔离，减少接触时间；加强设备维修保养润滑，减少噪声排放；3施工过程固废的排放，措施：建立生产现场环境保护管理制度；固废分类管理</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line="280" w:lineRule="exact"/>
              <w:jc w:val="center"/>
              <w:rPr>
                <w:b/>
                <w:sz w:val="20"/>
              </w:rPr>
            </w:pPr>
            <w:r>
              <w:rPr>
                <w:rFonts w:hint="eastAsia"/>
                <w:b/>
                <w:sz w:val="20"/>
              </w:rPr>
              <w:t>不可接受风险的危险源</w:t>
            </w:r>
            <w:r>
              <w:rPr>
                <w:rFonts w:hint="eastAsia"/>
                <w:b/>
                <w:sz w:val="20"/>
                <w:lang w:eastAsia="zh-CN"/>
              </w:rPr>
              <w:t>：</w:t>
            </w:r>
            <w:r>
              <w:rPr>
                <w:rFonts w:hint="eastAsia"/>
                <w:b/>
                <w:sz w:val="20"/>
                <w:lang w:val="en-US" w:eastAsia="zh-CN"/>
              </w:rPr>
              <w:t>1</w:t>
            </w:r>
            <w:r>
              <w:rPr>
                <w:rFonts w:hint="eastAsia"/>
                <w:b/>
                <w:sz w:val="20"/>
              </w:rPr>
              <w:t>施工调试过程机械伤害</w:t>
            </w:r>
            <w:r>
              <w:rPr>
                <w:rFonts w:hint="eastAsia"/>
                <w:b/>
                <w:sz w:val="20"/>
                <w:lang w:eastAsia="zh-CN"/>
              </w:rPr>
              <w:t>；</w:t>
            </w:r>
            <w:r>
              <w:rPr>
                <w:rFonts w:hint="eastAsia"/>
                <w:b/>
                <w:sz w:val="20"/>
                <w:lang w:val="en-US" w:eastAsia="zh-CN"/>
              </w:rPr>
              <w:t xml:space="preserve">措施：制定相关管理制度，并加强培训、加强现场监督检查、制定目标、指标及管理方案 建立考核奖惩办法。2 </w:t>
            </w:r>
            <w:r>
              <w:rPr>
                <w:rFonts w:hint="eastAsia"/>
                <w:b/>
                <w:sz w:val="20"/>
              </w:rPr>
              <w:t>施工调试过程高空坠落</w:t>
            </w:r>
            <w:r>
              <w:rPr>
                <w:rFonts w:hint="eastAsia"/>
                <w:b/>
                <w:sz w:val="20"/>
                <w:lang w:eastAsia="zh-CN"/>
              </w:rPr>
              <w:t>；</w:t>
            </w:r>
            <w:r>
              <w:rPr>
                <w:rFonts w:hint="eastAsia"/>
                <w:b/>
                <w:sz w:val="20"/>
                <w:lang w:val="en-US" w:eastAsia="zh-CN"/>
              </w:rPr>
              <w:t>措施：制定相关管理制度，并加强培训、加强现场监督检查、制定目标、指标及管理方案 建立考核奖惩办法。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pacing w:line="360" w:lineRule="auto"/>
              <w:rPr>
                <w:b/>
                <w:sz w:val="20"/>
              </w:rPr>
            </w:pPr>
            <w:r>
              <w:rPr>
                <w:rFonts w:hint="eastAsia"/>
                <w:b/>
                <w:sz w:val="20"/>
                <w:szCs w:val="22"/>
                <w:lang w:val="en-US" w:eastAsia="zh-CN"/>
              </w:rPr>
              <w:t>GB18918-2002《城镇污水处理厂污染物排放标准》</w:t>
            </w:r>
            <w:r>
              <w:rPr>
                <w:rFonts w:hint="eastAsia"/>
                <w:b/>
                <w:sz w:val="20"/>
                <w:szCs w:val="22"/>
                <w:lang w:eastAsia="zh-CN"/>
              </w:rPr>
              <w:t>IEC 61000-4-1992（GB/T17626-1998）工业过程测量和控制设备的电磁兼容性：试验和测量技术、IEC 60348 电气测量设备的安全要求 (78)、A</w:t>
            </w:r>
            <w:r>
              <w:rPr>
                <w:rFonts w:hint="eastAsia"/>
                <w:b/>
                <w:sz w:val="20"/>
                <w:szCs w:val="22"/>
              </w:rPr>
              <w:t>NSI/NFPA</w:t>
            </w:r>
            <w:r>
              <w:rPr>
                <w:rFonts w:hint="eastAsia"/>
                <w:b/>
                <w:sz w:val="20"/>
                <w:szCs w:val="22"/>
                <w:lang w:val="en-US" w:eastAsia="zh-CN"/>
              </w:rPr>
              <w:t xml:space="preserve"> 7</w:t>
            </w:r>
            <w:r>
              <w:rPr>
                <w:rFonts w:hint="eastAsia"/>
                <w:b/>
                <w:sz w:val="20"/>
                <w:szCs w:val="22"/>
              </w:rPr>
              <w:t>0国家电气规范</w:t>
            </w:r>
            <w:r>
              <w:rPr>
                <w:rFonts w:hint="eastAsia"/>
                <w:b/>
                <w:sz w:val="20"/>
                <w:szCs w:val="22"/>
                <w:lang w:eastAsia="zh-CN"/>
              </w:rPr>
              <w:t>、</w:t>
            </w:r>
            <w:r>
              <w:rPr>
                <w:rFonts w:hint="eastAsia"/>
                <w:b/>
                <w:sz w:val="20"/>
                <w:szCs w:val="22"/>
              </w:rPr>
              <w:t>ANSI/NFPA</w:t>
            </w:r>
            <w:r>
              <w:rPr>
                <w:rFonts w:hint="eastAsia"/>
                <w:b/>
                <w:sz w:val="20"/>
                <w:szCs w:val="22"/>
                <w:lang w:val="en-US" w:eastAsia="zh-CN"/>
              </w:rPr>
              <w:t>4</w:t>
            </w:r>
            <w:r>
              <w:rPr>
                <w:rFonts w:hint="eastAsia"/>
                <w:b/>
                <w:sz w:val="20"/>
                <w:szCs w:val="22"/>
              </w:rPr>
              <w:t>96电气设备外壳的净化和密封</w:t>
            </w:r>
            <w:r>
              <w:rPr>
                <w:rFonts w:hint="eastAsia"/>
                <w:b/>
                <w:sz w:val="20"/>
                <w:szCs w:val="22"/>
                <w:lang w:eastAsia="zh-CN"/>
              </w:rPr>
              <w:t>、</w:t>
            </w:r>
            <w:r>
              <w:rPr>
                <w:rFonts w:hint="eastAsia"/>
                <w:b/>
                <w:sz w:val="20"/>
                <w:szCs w:val="22"/>
              </w:rPr>
              <w:t>ANSI/IEEE488.1可编程仪表的数字接口</w:t>
            </w:r>
            <w:r>
              <w:rPr>
                <w:rFonts w:hint="eastAsia"/>
                <w:b/>
                <w:sz w:val="20"/>
                <w:szCs w:val="22"/>
                <w:lang w:eastAsia="zh-CN"/>
              </w:rPr>
              <w:t>、</w:t>
            </w:r>
            <w:r>
              <w:rPr>
                <w:rFonts w:hint="eastAsia"/>
                <w:b/>
                <w:sz w:val="20"/>
                <w:szCs w:val="22"/>
              </w:rPr>
              <w:t>EIA RS-232-C</w:t>
            </w:r>
            <w:r>
              <w:rPr>
                <w:rFonts w:hint="eastAsia"/>
                <w:b/>
                <w:sz w:val="20"/>
                <w:szCs w:val="22"/>
              </w:rPr>
              <w:tab/>
            </w:r>
            <w:r>
              <w:rPr>
                <w:rFonts w:hint="eastAsia"/>
                <w:b/>
                <w:sz w:val="20"/>
                <w:szCs w:val="22"/>
              </w:rPr>
              <w:t>数据终端设备与使用串行二进制数据进行数据交换的数据通讯设备之间的接口</w:t>
            </w:r>
            <w:r>
              <w:rPr>
                <w:rFonts w:hint="eastAsia"/>
                <w:b/>
                <w:sz w:val="20"/>
                <w:szCs w:val="22"/>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left"/>
              <w:rPr>
                <w:b/>
                <w:sz w:val="20"/>
              </w:rPr>
            </w:pPr>
            <w:r>
              <w:rPr>
                <w:rFonts w:hint="eastAsia"/>
                <w:b/>
                <w:sz w:val="20"/>
                <w:lang w:val="en-US" w:eastAsia="zh-CN"/>
              </w:rPr>
              <w:t>系统测量和测试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left"/>
              <w:rPr>
                <w:b/>
                <w:sz w:val="20"/>
              </w:rPr>
            </w:pPr>
            <w:r>
              <w:rPr>
                <w:rFonts w:hint="eastAsia"/>
                <w:b/>
                <w:sz w:val="20"/>
                <w:lang w:val="en-US" w:eastAsia="zh-CN"/>
              </w:rPr>
              <w:t>自动化控制、测量软件应用等相关知识</w:t>
            </w:r>
          </w:p>
        </w:tc>
      </w:tr>
    </w:tbl>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sz w:val="20"/>
        </w:rPr>
        <w:t>谭琼</w:t>
      </w:r>
      <w:r>
        <w:rPr>
          <w:rFonts w:ascii="宋体"/>
          <w:b/>
          <w:sz w:val="18"/>
          <w:szCs w:val="18"/>
        </w:rPr>
        <w:t xml:space="preserve">           </w:t>
      </w:r>
      <w:r>
        <w:rPr>
          <w:rFonts w:hint="eastAsia"/>
          <w:b/>
          <w:sz w:val="22"/>
          <w:szCs w:val="22"/>
        </w:rPr>
        <w:t>日期</w:t>
      </w:r>
      <w:r>
        <w:rPr>
          <w:rFonts w:hint="eastAsia"/>
          <w:b/>
          <w:sz w:val="18"/>
          <w:szCs w:val="18"/>
        </w:rPr>
        <w:t>：</w:t>
      </w:r>
      <w:r>
        <w:rPr>
          <w:rFonts w:ascii="宋体"/>
          <w:b/>
          <w:sz w:val="22"/>
          <w:szCs w:val="22"/>
        </w:rPr>
        <w:t xml:space="preserve"> </w:t>
      </w:r>
      <w:r>
        <w:rPr>
          <w:rFonts w:hint="eastAsia" w:ascii="宋体"/>
          <w:b/>
          <w:sz w:val="22"/>
          <w:szCs w:val="22"/>
          <w:lang w:val="en-US" w:eastAsia="zh-CN"/>
        </w:rPr>
        <w:t>2021.2.22</w:t>
      </w:r>
      <w:r>
        <w:rPr>
          <w:rFonts w:ascii="宋体"/>
          <w:b/>
          <w:sz w:val="22"/>
          <w:szCs w:val="22"/>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张磊</w:t>
      </w:r>
      <w:r>
        <w:rPr>
          <w:rFonts w:ascii="宋体"/>
          <w:b/>
          <w:sz w:val="18"/>
          <w:szCs w:val="18"/>
        </w:rPr>
        <w:t xml:space="preserve">    </w:t>
      </w:r>
      <w:r>
        <w:rPr>
          <w:rFonts w:hint="eastAsia"/>
          <w:b/>
          <w:sz w:val="22"/>
          <w:szCs w:val="22"/>
        </w:rPr>
        <w:t>日期</w:t>
      </w:r>
      <w:r>
        <w:rPr>
          <w:rFonts w:hint="eastAsia"/>
          <w:b/>
          <w:sz w:val="18"/>
          <w:szCs w:val="18"/>
        </w:rPr>
        <w:t>：</w:t>
      </w:r>
      <w:r>
        <w:rPr>
          <w:rFonts w:ascii="宋体"/>
          <w:b/>
          <w:sz w:val="22"/>
          <w:szCs w:val="22"/>
        </w:rPr>
        <w:t xml:space="preserve"> </w:t>
      </w:r>
      <w:r>
        <w:rPr>
          <w:rFonts w:hint="eastAsia" w:ascii="宋体"/>
          <w:b/>
          <w:sz w:val="22"/>
          <w:szCs w:val="22"/>
          <w:lang w:val="en-US" w:eastAsia="zh-CN"/>
        </w:rPr>
        <w:t>2021.2.22</w:t>
      </w:r>
      <w:r>
        <w:rPr>
          <w:rFonts w:ascii="宋体"/>
          <w:b/>
          <w:sz w:val="22"/>
          <w:szCs w:val="22"/>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5A063A"/>
    <w:rsid w:val="3DB8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locked/>
    <w:uiPriority w:val="99"/>
    <w:rPr>
      <w:rFonts w:ascii="Times New Roman" w:hAnsi="Times New Roman" w:eastAsia="宋体" w:cs="Times New Roman"/>
      <w:sz w:val="18"/>
      <w:szCs w:val="18"/>
    </w:rPr>
  </w:style>
  <w:style w:type="character" w:customStyle="1" w:styleId="8">
    <w:name w:val="页眉 字符"/>
    <w:link w:val="4"/>
    <w:qFormat/>
    <w:locked/>
    <w:uiPriority w:val="99"/>
    <w:rPr>
      <w:rFonts w:ascii="Times New Roman" w:hAnsi="Times New Roman" w:eastAsia="宋体" w:cs="Times New Roman"/>
      <w:sz w:val="18"/>
      <w:szCs w:val="18"/>
    </w:rPr>
  </w:style>
  <w:style w:type="character" w:customStyle="1" w:styleId="9">
    <w:name w:val="批注框文本 字符"/>
    <w:link w:val="2"/>
    <w:semiHidden/>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0</TotalTime>
  <ScaleCrop>false</ScaleCrop>
  <LinksUpToDate>false</LinksUpToDate>
  <CharactersWithSpaces>312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弓长</cp:lastModifiedBy>
  <dcterms:modified xsi:type="dcterms:W3CDTF">2021-02-21T14:35:55Z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