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default" w:eastAsia="宋体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7179310</wp:posOffset>
            </wp:positionV>
            <wp:extent cx="514350" cy="371475"/>
            <wp:effectExtent l="0" t="0" r="6350" b="9525"/>
            <wp:wrapSquare wrapText="bothSides"/>
            <wp:docPr id="2" name="图片 1" descr="158544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85441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0365-2019-QEO-2021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武汉加百利自动化工程技术有限公司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rFonts w:ascii="宋体" w:hAnsi="宋体"/>
                <w:szCs w:val="21"/>
              </w:rPr>
              <w:t>洪山区新世纪花园C区3栋9-10层1室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洪山区和平村东湖城K1二期第22幢1-2层商9号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>2021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  <w:lang w:val="en-US" w:eastAsia="zh-CN"/>
              </w:rPr>
              <w:t>.2.20</w:t>
            </w:r>
            <w:r>
              <w:rPr>
                <w:rFonts w:hint="eastAsia"/>
                <w:b/>
                <w:szCs w:val="21"/>
              </w:rPr>
              <w:t xml:space="preserve">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E7712"/>
    <w:rsid w:val="32A0049D"/>
    <w:rsid w:val="36417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弓长</cp:lastModifiedBy>
  <cp:lastPrinted>2016-01-28T05:47:00Z</cp:lastPrinted>
  <dcterms:modified xsi:type="dcterms:W3CDTF">2021-02-21T14:36:42Z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