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164"/>
        <w:gridCol w:w="11012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6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涉及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条款</w:t>
            </w:r>
          </w:p>
        </w:tc>
        <w:tc>
          <w:tcPr>
            <w:tcW w:w="11012" w:type="dxa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综合部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cs="新宋体"/>
                <w:szCs w:val="21"/>
              </w:rPr>
              <w:t>财务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szCs w:val="21"/>
              </w:rPr>
              <w:t>主管领导：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梁牡丹                  </w:t>
            </w:r>
            <w:r>
              <w:rPr>
                <w:rFonts w:ascii="宋体" w:hAnsi="宋体" w:cs="宋体"/>
                <w:szCs w:val="21"/>
              </w:rPr>
              <w:t>陪同人员：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秦喜梅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01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审核员：李俐             审核时间：20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577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012" w:type="dxa"/>
            <w:vAlign w:val="center"/>
          </w:tcPr>
          <w:p>
            <w:pPr>
              <w:snapToGrid w:val="0"/>
              <w:spacing w:line="360" w:lineRule="auto"/>
            </w:pPr>
            <w:r>
              <w:rPr>
                <w:rFonts w:hint="eastAsia"/>
              </w:rPr>
              <w:t>审核条款：</w:t>
            </w:r>
          </w:p>
          <w:p>
            <w:pPr>
              <w:snapToGrid w:val="0"/>
              <w:spacing w:line="360" w:lineRule="auto"/>
              <w:ind w:firstLine="210" w:firstLineChars="100"/>
            </w:pPr>
            <w:r>
              <w:rPr>
                <w:rFonts w:hint="eastAsia"/>
                <w:szCs w:val="22"/>
              </w:rPr>
              <w:t>5.3；6.2；7.1.2；7.1.4；7.1.5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7.1.6；7.2；7.3；7.5；9.1.1；9.1.3；</w:t>
            </w:r>
            <w:r>
              <w:rPr>
                <w:rFonts w:hint="eastAsia"/>
                <w:szCs w:val="22"/>
                <w:lang w:val="en-US" w:eastAsia="zh-CN"/>
              </w:rPr>
              <w:t>9.2；</w:t>
            </w:r>
            <w:r>
              <w:rPr>
                <w:rFonts w:hint="eastAsia"/>
                <w:szCs w:val="22"/>
              </w:rPr>
              <w:t>10.2；</w:t>
            </w:r>
          </w:p>
        </w:tc>
        <w:tc>
          <w:tcPr>
            <w:tcW w:w="577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</w:tc>
        <w:tc>
          <w:tcPr>
            <w:tcW w:w="1164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Q5.3</w:t>
            </w:r>
          </w:p>
        </w:tc>
        <w:tc>
          <w:tcPr>
            <w:tcW w:w="11012" w:type="dxa"/>
            <w:vAlign w:val="center"/>
          </w:tcPr>
          <w:p>
            <w:pPr>
              <w:tabs>
                <w:tab w:val="center" w:pos="3169"/>
              </w:tabs>
              <w:spacing w:line="360" w:lineRule="auto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部门负责人：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梁牡丹 </w:t>
            </w:r>
            <w:r>
              <w:rPr>
                <w:rFonts w:hint="eastAsia"/>
                <w:szCs w:val="22"/>
              </w:rPr>
              <w:t xml:space="preserve"> </w:t>
            </w:r>
          </w:p>
          <w:p>
            <w:pPr>
              <w:tabs>
                <w:tab w:val="center" w:pos="3169"/>
              </w:tabs>
              <w:spacing w:line="360" w:lineRule="auto"/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/>
                <w:szCs w:val="22"/>
              </w:rPr>
              <w:t>询问主要职责：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负责体系文件、资料和记录的管理，包括发放、保存等工作，并作好相关记录；协助管理者代表贯彻落实本公司管理方针和目标指标；负责制定培训计划并组织培训，建立职工教育档案；负责统筹本公司内、外部相关信息的传递、处理及内部沟通活动；根据管理者代表的部署，制定内部审核计划，组织实施内部审核，并监督检查纠正措施的落实；负责管理评审工作；负责管理体系绩效的监测和测量；负责法律、法规合规性评价。</w:t>
            </w:r>
          </w:p>
          <w:p>
            <w:pPr>
              <w:tabs>
                <w:tab w:val="center" w:pos="3169"/>
              </w:tabs>
              <w:spacing w:line="360" w:lineRule="auto"/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财务人员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负责办理经营投标所需的银行担保及资金证明，提供所需的企业财务状况资料；对本公司各部门的资金使用状况进行监督与管理；负责本公司财务的日常管理工作；</w:t>
            </w:r>
          </w:p>
          <w:p>
            <w:pPr>
              <w:tabs>
                <w:tab w:val="center" w:pos="3169"/>
              </w:tabs>
              <w:spacing w:line="360" w:lineRule="auto"/>
              <w:jc w:val="lef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部门职责清晰、明确。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负责人能基本阐述本部门的主要职责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956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及其实现的策划</w:t>
            </w:r>
          </w:p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</w:tcPr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ind w:firstLine="230" w:firstLineChars="100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hint="eastAsia" w:ascii="宋体" w:hAnsi="宋体" w:cs="新宋体"/>
                <w:szCs w:val="21"/>
              </w:rPr>
              <w:t>6.2</w:t>
            </w:r>
          </w:p>
        </w:tc>
        <w:tc>
          <w:tcPr>
            <w:tcW w:w="1101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了《质量目标分解与完成情况统计分析》，公司有将质量目标分解到各个部门，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综合部</w:t>
            </w:r>
            <w:r>
              <w:rPr>
                <w:rFonts w:hint="eastAsia"/>
                <w:szCs w:val="22"/>
              </w:rPr>
              <w:t>的目标是：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合同评审率100%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培训计划实施100%；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12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25</w:t>
            </w:r>
            <w:r>
              <w:rPr>
                <w:rFonts w:hint="eastAsia"/>
                <w:szCs w:val="22"/>
              </w:rPr>
              <w:t>日，检查人员：</w:t>
            </w:r>
            <w:r>
              <w:rPr>
                <w:rFonts w:hint="eastAsia"/>
                <w:szCs w:val="22"/>
                <w:lang w:eastAsia="zh-CN"/>
              </w:rPr>
              <w:t>魏西斌</w:t>
            </w:r>
            <w:r>
              <w:rPr>
                <w:rFonts w:hint="eastAsia"/>
                <w:szCs w:val="22"/>
              </w:rPr>
              <w:t>，考核情况：经查已完成。</w:t>
            </w:r>
          </w:p>
        </w:tc>
        <w:tc>
          <w:tcPr>
            <w:tcW w:w="577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eastAsia="宋体"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6" w:hRule="atLeast"/>
        </w:trPr>
        <w:tc>
          <w:tcPr>
            <w:tcW w:w="1956" w:type="dxa"/>
          </w:tcPr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rFonts w:hint="eastAsia" w:eastAsia="宋体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人员、能力、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意识</w:t>
            </w:r>
          </w:p>
        </w:tc>
        <w:tc>
          <w:tcPr>
            <w:tcW w:w="1164" w:type="dxa"/>
          </w:tcPr>
          <w:p>
            <w:pPr>
              <w:pStyle w:val="16"/>
              <w:rPr>
                <w:rFonts w:ascii="宋体" w:hAnsi="宋体" w:cs="新宋体"/>
                <w:szCs w:val="21"/>
              </w:rPr>
            </w:pP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hint="eastAsia" w:ascii="宋体" w:hAnsi="宋体" w:cs="新宋体"/>
                <w:szCs w:val="21"/>
              </w:rPr>
              <w:t>7.1.2</w:t>
            </w:r>
          </w:p>
          <w:p>
            <w:pPr>
              <w:pStyle w:val="16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hint="eastAsia" w:ascii="宋体" w:hAnsi="宋体" w:cs="新宋体"/>
                <w:szCs w:val="21"/>
              </w:rPr>
              <w:t>7.2</w:t>
            </w: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hint="eastAsia" w:ascii="宋体" w:hAnsi="宋体" w:cs="新宋体"/>
                <w:szCs w:val="21"/>
              </w:rPr>
              <w:t>7.3</w:t>
            </w: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</w:p>
        </w:tc>
        <w:tc>
          <w:tcPr>
            <w:tcW w:w="1101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提供《岗位人员任职要求》，对各部门领导层、</w:t>
            </w:r>
            <w:r>
              <w:rPr>
                <w:rFonts w:hint="eastAsia"/>
                <w:szCs w:val="22"/>
                <w:lang w:val="en-US" w:eastAsia="zh-CN"/>
              </w:rPr>
              <w:t>综合部</w:t>
            </w:r>
            <w:r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  <w:lang w:val="en-US" w:eastAsia="zh-CN"/>
              </w:rPr>
              <w:t>财务</w:t>
            </w:r>
            <w:r>
              <w:rPr>
                <w:rFonts w:hint="eastAsia"/>
                <w:szCs w:val="22"/>
              </w:rPr>
              <w:t>）、</w:t>
            </w:r>
            <w:r>
              <w:rPr>
                <w:rFonts w:hint="eastAsia"/>
                <w:szCs w:val="22"/>
                <w:lang w:eastAsia="zh-CN"/>
              </w:rPr>
              <w:t>市场部</w:t>
            </w:r>
            <w:r>
              <w:rPr>
                <w:rFonts w:hint="eastAsia"/>
                <w:szCs w:val="22"/>
              </w:rPr>
              <w:t>负责人岗位能力工作权限与内容、任职资格（经验知识个人素质、专业技能）的等作出了规定。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查看《员工任职能力评价表》，其中包括：总经理、管代、各部门负责人、业务员等。能够满足公司</w:t>
            </w:r>
            <w:r>
              <w:rPr>
                <w:rFonts w:hint="eastAsia"/>
                <w:szCs w:val="22"/>
                <w:lang w:val="en-US" w:eastAsia="zh-CN"/>
              </w:rPr>
              <w:t>质量</w:t>
            </w:r>
            <w:r>
              <w:rPr>
                <w:rFonts w:hint="eastAsia"/>
                <w:szCs w:val="22"/>
              </w:rPr>
              <w:t>管理体系运行以及体系覆盖产品生产和服务的需求。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抽查：管代，</w:t>
            </w:r>
            <w:r>
              <w:rPr>
                <w:rFonts w:hint="eastAsia"/>
                <w:szCs w:val="22"/>
                <w:lang w:val="en-US" w:eastAsia="zh-CN"/>
              </w:rPr>
              <w:t>魏西斌</w:t>
            </w:r>
            <w:r>
              <w:rPr>
                <w:rFonts w:hint="eastAsia"/>
                <w:szCs w:val="22"/>
              </w:rPr>
              <w:t>；</w:t>
            </w:r>
            <w:r>
              <w:rPr>
                <w:rFonts w:hint="eastAsia"/>
                <w:szCs w:val="22"/>
                <w:lang w:val="en-US" w:eastAsia="zh-CN"/>
              </w:rPr>
              <w:t>综合部</w:t>
            </w:r>
            <w:r>
              <w:rPr>
                <w:rFonts w:hint="eastAsia"/>
                <w:szCs w:val="22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梁牡丹</w:t>
            </w:r>
            <w:r>
              <w:rPr>
                <w:rFonts w:hint="eastAsia"/>
                <w:szCs w:val="22"/>
              </w:rPr>
              <w:t>；</w:t>
            </w:r>
            <w:r>
              <w:rPr>
                <w:rFonts w:hint="eastAsia"/>
                <w:szCs w:val="22"/>
                <w:lang w:val="en-US" w:eastAsia="zh-CN"/>
              </w:rPr>
              <w:t>市场</w:t>
            </w:r>
            <w:r>
              <w:rPr>
                <w:rFonts w:hint="eastAsia"/>
                <w:szCs w:val="22"/>
              </w:rPr>
              <w:t>部，</w:t>
            </w:r>
            <w:r>
              <w:rPr>
                <w:rFonts w:hint="eastAsia"/>
                <w:szCs w:val="22"/>
                <w:lang w:val="en-US" w:eastAsia="zh-CN"/>
              </w:rPr>
              <w:t>董平</w:t>
            </w:r>
            <w:r>
              <w:rPr>
                <w:rFonts w:hint="eastAsia"/>
                <w:szCs w:val="22"/>
              </w:rPr>
              <w:t>等任职人员，从业务知识、学习创新、执行能力、协同能力、工作效率等方面任职能力评价，综合评价：各岗位人员均合格，能满足要求。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查《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2020年度</w:t>
            </w:r>
            <w:r>
              <w:rPr>
                <w:rFonts w:hint="eastAsia" w:ascii="宋体" w:hAnsi="宋体"/>
                <w:szCs w:val="21"/>
              </w:rPr>
              <w:t>培训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计划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2020.1.5，编制：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梁牡丹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批准：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魏西斌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内容包括：GB/T1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001-2016标准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文件培训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管理制度培训、销售技能培训、内审员培训、法律法规培训、新员工入职培训等。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抽培训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售后服务管理制度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销售过程检验规范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进货检验规范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等，培训及考核结果记录：培训结束进行了口头考核，参加人员基本掌握了培训要求。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提供相应的培训记录，及人员签到表和培训效果评价。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目前公司人员比较稳定，人员没有变化，没有新员工，故，没有新员工培训记录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人力资源控制基本满足要求。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运作环境</w:t>
            </w:r>
          </w:p>
        </w:tc>
        <w:tc>
          <w:tcPr>
            <w:tcW w:w="1164" w:type="dxa"/>
          </w:tcPr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Q7.1.4</w:t>
            </w:r>
          </w:p>
        </w:tc>
        <w:tc>
          <w:tcPr>
            <w:tcW w:w="11012" w:type="dxa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公司办公、销售过程对环境要求一般，无特殊要求，各办公区域环境卫生由各部门负责。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现场巡视：办公环境光照、温度适宜，通风良好，电路布线合理、电气插座完整，未见破损，办公场所物品摆放整齐、有序，未见随意乱放私人物品的情况，未见用电不当等安全隐患及不良影响现象。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企业确定并提供了产品要求所需的工作环境，工作环境适宜，现有工作环境能满足提供合格的产品以及销售服务的需要。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监视和测量资源</w:t>
            </w:r>
          </w:p>
        </w:tc>
        <w:tc>
          <w:tcPr>
            <w:tcW w:w="1164" w:type="dxa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hint="eastAsia" w:ascii="宋体" w:hAnsi="宋体" w:cs="宋体"/>
                <w:szCs w:val="21"/>
                <w:lang w:bidi="ar"/>
              </w:rPr>
              <w:t>7.1.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5</w:t>
            </w:r>
          </w:p>
        </w:tc>
        <w:tc>
          <w:tcPr>
            <w:tcW w:w="11012" w:type="dxa"/>
          </w:tcPr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按照标准和顾客要求销售无需再设计开发，只检查产品外观、合格证、无需计量设备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组织的知识</w:t>
            </w:r>
          </w:p>
        </w:tc>
        <w:tc>
          <w:tcPr>
            <w:tcW w:w="1164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hint="eastAsia" w:ascii="宋体" w:hAnsi="宋体" w:cs="宋体"/>
                <w:szCs w:val="21"/>
                <w:lang w:bidi="ar"/>
              </w:rPr>
              <w:t>7.1.6</w:t>
            </w:r>
          </w:p>
        </w:tc>
        <w:tc>
          <w:tcPr>
            <w:tcW w:w="11012" w:type="dxa"/>
          </w:tcPr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经组织识别，组织内外部知识包括：外部知识、专业知识、管理经验、教训，不断发现问题、解决问题，通过会议，文件传达或制定有关作业指导书并进行培训。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</w:pPr>
            <w:r>
              <w:rPr>
                <w:rFonts w:hint="eastAsia"/>
                <w:lang w:val="en-US" w:eastAsia="zh-CN"/>
              </w:rPr>
              <w:t>综合部</w:t>
            </w:r>
            <w:r>
              <w:rPr>
                <w:rFonts w:hint="eastAsia"/>
              </w:rPr>
              <w:t>负责整理收集组织相关的知识，定期更新。</w:t>
            </w:r>
          </w:p>
          <w:p>
            <w:pPr>
              <w:pStyle w:val="3"/>
              <w:ind w:left="0"/>
            </w:pP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</w:pPr>
          </w:p>
          <w:p>
            <w:pPr>
              <w:pStyle w:val="2"/>
              <w:ind w:firstLine="420" w:firstLineChars="200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2"/>
              <w:ind w:firstLine="420" w:firstLineChars="200"/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bidi="ar"/>
              </w:rPr>
              <w:t>成文信息</w:t>
            </w:r>
          </w:p>
        </w:tc>
        <w:tc>
          <w:tcPr>
            <w:tcW w:w="1164" w:type="dxa"/>
          </w:tcPr>
          <w:p>
            <w:pPr>
              <w:tabs>
                <w:tab w:val="center" w:pos="3169"/>
              </w:tabs>
              <w:spacing w:line="400" w:lineRule="exact"/>
              <w:jc w:val="left"/>
            </w:pPr>
          </w:p>
          <w:p>
            <w:pPr>
              <w:pStyle w:val="2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 xml:space="preserve">7.5 </w:t>
            </w:r>
          </w:p>
          <w:p>
            <w:pPr>
              <w:pStyle w:val="3"/>
              <w:ind w:left="0"/>
            </w:pPr>
          </w:p>
        </w:tc>
        <w:tc>
          <w:tcPr>
            <w:tcW w:w="1101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编制了</w:t>
            </w:r>
            <w:r>
              <w:rPr>
                <w:rFonts w:hint="eastAsia" w:ascii="宋体" w:hAnsi="宋体" w:cs="宋体"/>
                <w:szCs w:val="21"/>
                <w:lang w:bidi="ar"/>
              </w:rPr>
              <w:t>《文件控制程序》、《记录控制程序》，体系文件生效实施日期为201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szCs w:val="21"/>
                <w:lang w:bidi="ar"/>
              </w:rPr>
              <w:t>月1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szCs w:val="21"/>
                <w:lang w:bidi="ar"/>
              </w:rPr>
              <w:t>日，文件规定了质量文件的编制、审批、评审、编号、回收、发放、更改、换版、作废等的管理和控制。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查《受控文件清单 》，包括管理手册、程序文件</w:t>
            </w:r>
            <w:r>
              <w:rPr>
                <w:rFonts w:hint="eastAsia" w:ascii="宋体" w:hAnsi="宋体" w:cs="宋体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管理制度</w:t>
            </w:r>
            <w:r>
              <w:rPr>
                <w:rFonts w:hint="eastAsia" w:ascii="宋体" w:hAnsi="宋体" w:cs="宋体"/>
                <w:szCs w:val="21"/>
                <w:lang w:bidi="ar"/>
              </w:rPr>
              <w:t>等作业文件。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查：《文件、发放回收记录》，抽查文件发放情况，有收文、发文的确认签字，符合文件发放规定。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文件资料基本满足岗位工作需要，并为现行有效版本。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查文件的评审及更新：管理评审时对文件的适宜性及可操作性进行评审：适宜、可操作。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 xml:space="preserve">  查文件的作废：暂无作废文件。电子文档需要责任部门留下发放记录，并告知换页处置要求。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文件按需求和公司管理规定发放至有关部门和人员，查有发放记录，符合。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口头提出待改进项目：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未对电子文档的安全性管理做出明确规定。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提供《记录清单》，规定了记录的名称、编号、责任部门、保存期限等内容。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核对标准规定的应保留的记录和保存期限，标准所规定的记录均涵盖，保存期限规定的合理。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记录清单中对记录的管理、控制进行明确的分工。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综合部</w:t>
            </w:r>
            <w:r>
              <w:rPr>
                <w:rFonts w:hint="eastAsia" w:ascii="宋体" w:hAnsi="宋体" w:cs="宋体"/>
                <w:szCs w:val="21"/>
                <w:lang w:bidi="ar"/>
              </w:rPr>
              <w:t>主要负责归档公司质量标识、编目、保管、贮存，负责本程序的归口管理。见保管的记录：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 xml:space="preserve"> 法律、法规及其他要求清单；年度培训计划等记录；管理评审计划等记录；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合同评审表；合格供方名录；</w:t>
            </w:r>
            <w:r>
              <w:rPr>
                <w:rFonts w:hint="eastAsia" w:ascii="宋体" w:hAnsi="宋体" w:cs="宋体"/>
                <w:szCs w:val="21"/>
                <w:lang w:bidi="ar"/>
              </w:rPr>
              <w:t>岗位人员能力评定记录。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所见记录反映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综合部</w:t>
            </w:r>
            <w:r>
              <w:rPr>
                <w:rFonts w:hint="eastAsia" w:ascii="宋体" w:hAnsi="宋体" w:cs="宋体"/>
                <w:szCs w:val="21"/>
                <w:lang w:bidi="ar"/>
              </w:rPr>
              <w:t>能够按照记录控制要求进行管理，记录保存完整，填写清晰、工整。记录控制符合要求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</w:tcPr>
          <w:p>
            <w:pPr>
              <w:pStyle w:val="2"/>
              <w:ind w:firstLine="420" w:firstLineChars="200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bidi="ar"/>
              </w:rPr>
              <w:t>监视、测量、分析和评价</w:t>
            </w:r>
          </w:p>
        </w:tc>
        <w:tc>
          <w:tcPr>
            <w:tcW w:w="1164" w:type="dxa"/>
          </w:tcPr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</w:pPr>
            <w:r>
              <w:rPr>
                <w:rFonts w:hint="eastAsia" w:ascii="宋体" w:hAnsi="宋体" w:cs="Arial"/>
                <w:spacing w:val="-6"/>
                <w:szCs w:val="21"/>
              </w:rPr>
              <w:t>Q：9.1.1</w:t>
            </w:r>
            <w:r>
              <w:rPr>
                <w:rFonts w:hint="eastAsia" w:ascii="宋体" w:hAnsi="宋体" w:cs="Arial"/>
                <w:szCs w:val="21"/>
              </w:rPr>
              <w:t>、Q：9.1.3</w:t>
            </w:r>
          </w:p>
        </w:tc>
        <w:tc>
          <w:tcPr>
            <w:tcW w:w="11012" w:type="dxa"/>
          </w:tcPr>
          <w:p>
            <w:pPr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组织各部门策划和实施必要的监视和测量活动，确保产品、体系和过程的符合性，以持续改进质量管理体系的有效性。公司的过程和体系的监视和测量主要是通过内审、管理评审、目标考核以及日常工作监督、产品检验、顾客满意度测量等的方式完成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宋体"/>
                <w:szCs w:val="21"/>
              </w:rPr>
              <w:t>负责对体系、过程的日常监测和质量目标完成情况进行统计分析。对目标完成情况进行收集和统计分析，并制作目标完成情况统计表。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宋体"/>
                <w:szCs w:val="21"/>
              </w:rPr>
              <w:t>负责对供方业绩予以评价，对供方业绩实施了监视和测量，并对产品销售过程的监视和测量活动进行了策划和实施。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宋体"/>
                <w:szCs w:val="21"/>
              </w:rPr>
              <w:t>对顾客满意度进行了定期评价和分析。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日常通过对市场信息、目标完成情况及适宜性、营销人员过程工作监督、产品质量检验、顾客满意对测量及反馈等作为分析评价的输入，并根据输出情况及时采取了相应措施并改进，公司针对其他信息，进行了随时利用，但是没有保持相关记录，公司已建立了信息收集的渠道，并实施，但利用深度须加强，已交流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公司已对管理体系的监视、测量、分析和评价进行了策划，基本能够按照要求实施。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内部审核</w:t>
            </w:r>
          </w:p>
        </w:tc>
        <w:tc>
          <w:tcPr>
            <w:tcW w:w="1164" w:type="dxa"/>
            <w:vAlign w:val="center"/>
          </w:tcPr>
          <w:p>
            <w:pPr>
              <w:ind w:firstLine="210" w:firstLineChars="1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9.2</w:t>
            </w:r>
          </w:p>
          <w:p>
            <w:pP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12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公司制定《内部审核控制程序》，对内部审核方案策划规定：内审每年进行一次，按部门/过程审核。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管代介绍内审的安排和做法，与程序文件“内部审核控制程序”相符。</w:t>
            </w:r>
            <w:r>
              <w:rPr>
                <w:rFonts w:hint="eastAsia" w:asciiTheme="minorEastAsia" w:hAnsiTheme="minorEastAsia" w:eastAsiaTheme="minorEastAsia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4"/>
              </w:rPr>
              <w:t>查最近一次内审记录：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</w:rPr>
              <w:t>8-9日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进行，组长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：魏西斌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 xml:space="preserve"> 内审员: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 xml:space="preserve">梁牡丹 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，经过培训，并经总经理任命。</w:t>
            </w:r>
            <w:r>
              <w:rPr>
                <w:rFonts w:hint="eastAsia" w:asciiTheme="minorEastAsia" w:hAnsiTheme="minorEastAsia" w:eastAsiaTheme="minorEastAsia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4"/>
              </w:rPr>
              <w:t xml:space="preserve">    查内审计划，涉及了所有部门及相关过程。计划编制合理，无漏条款现象。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抽管理层：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Q:4.1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4.2、4.3、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4.4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5.1-5.4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6.1-6.2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7.1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7.4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9.3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10.1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 xml:space="preserve">10.3  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部：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Q:5.3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6.2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7.4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8.2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8.4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7.1.3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7.1.4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8.1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8.5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 xml:space="preserve">9.1.2 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9.1.3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 xml:space="preserve"> 符合计划安排。审核内容基本符合规定。</w:t>
            </w:r>
            <w:r>
              <w:rPr>
                <w:rFonts w:hint="eastAsia" w:asciiTheme="minorEastAsia" w:hAnsiTheme="minorEastAsia" w:eastAsiaTheme="minorEastAsia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4"/>
              </w:rPr>
              <w:t>审核活动共提出1个不符合项，分别分布在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市场</w:t>
            </w:r>
            <w:r>
              <w:rPr>
                <w:rFonts w:hint="eastAsia"/>
                <w:sz w:val="20"/>
                <w:szCs w:val="22"/>
              </w:rPr>
              <w:t>部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。涉及条款有Q:7.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1.3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条款；查不符合项报告。不符合项报告事实描述清楚，原因分析到位，纠正措施及其验证合理。不符合项20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验证关闭。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查内审报告：对体系文件和对体系的运作的符合性和有效性进行了评价，结论为：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4"/>
              </w:rPr>
              <w:t>公司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 xml:space="preserve">管理体系基本符合ISO 9001：2015要求，方针是适宜的，符合标准要求和法律法规要求，运行是有效的。    </w:t>
            </w:r>
          </w:p>
          <w:p>
            <w:pPr>
              <w:spacing w:line="360" w:lineRule="auto"/>
              <w:ind w:firstLine="420" w:firstLineChars="200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提供了内审员培训记录，审核员没有审核自己部门工作，具有独立性。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不合格和纠正措施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10.2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</w:p>
        </w:tc>
        <w:tc>
          <w:tcPr>
            <w:tcW w:w="11012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保持实施《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不合格与</w:t>
            </w:r>
            <w:r>
              <w:rPr>
                <w:rFonts w:hint="eastAsia" w:ascii="宋体" w:hAnsi="宋体"/>
                <w:szCs w:val="21"/>
              </w:rPr>
              <w:t>纠正措施控制程序</w:t>
            </w:r>
            <w:r>
              <w:rPr>
                <w:rFonts w:hint="eastAsia" w:ascii="宋体" w:hAnsi="宋体" w:cs="宋体"/>
                <w:szCs w:val="21"/>
              </w:rPr>
              <w:t>》，对纠正预防措施识别、评审、验证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处理等作了规定，其内容符合组织实际及标准要求。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企业纠正和预防措施的管理符合标准规定要求。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</w:p>
        </w:tc>
        <w:tc>
          <w:tcPr>
            <w:tcW w:w="11012" w:type="dxa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</w:tbl>
    <w:p/>
    <w:p>
      <w:pPr>
        <w:pStyle w:val="9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20"/>
        <w:rFonts w:hint="default"/>
      </w:rPr>
      <w:t>北京国标联合认证有限公司</w:t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</w:p>
  <w:p>
    <w:pPr>
      <w:pStyle w:val="10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</w:t>
                </w:r>
              </w:p>
            </w:txbxContent>
          </v:textbox>
        </v:shape>
      </w:pict>
    </w:r>
    <w:r>
      <w:rPr>
        <w:rStyle w:val="20"/>
        <w:rFonts w:hint="default"/>
      </w:rPr>
      <w:t xml:space="preserve">        </w:t>
    </w:r>
    <w:r>
      <w:rPr>
        <w:rStyle w:val="20"/>
        <w:rFonts w:hint="default"/>
        <w:w w:val="90"/>
      </w:rPr>
      <w:t>Beijing International Standard united Certification Co.,Ltd.</w:t>
    </w:r>
    <w:r>
      <w:rPr>
        <w:rStyle w:val="20"/>
        <w:rFonts w:hint="default"/>
        <w:w w:val="90"/>
        <w:szCs w:val="21"/>
      </w:rPr>
      <w:t xml:space="preserve">  </w:t>
    </w:r>
    <w:r>
      <w:rPr>
        <w:rStyle w:val="20"/>
        <w:rFonts w:hint="default"/>
        <w:w w:val="90"/>
        <w:sz w:val="20"/>
      </w:rPr>
      <w:t xml:space="preserve"> </w:t>
    </w:r>
    <w:r>
      <w:rPr>
        <w:rStyle w:val="20"/>
        <w:rFonts w:hint="default"/>
        <w:w w:val="90"/>
      </w:rPr>
      <w:t xml:space="preserve">                   </w:t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none"/>
      <w:pStyle w:val="21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1A2D7F"/>
    <w:rsid w:val="00216381"/>
    <w:rsid w:val="00234E37"/>
    <w:rsid w:val="00337922"/>
    <w:rsid w:val="00340867"/>
    <w:rsid w:val="00380837"/>
    <w:rsid w:val="003A198A"/>
    <w:rsid w:val="00410914"/>
    <w:rsid w:val="0047492E"/>
    <w:rsid w:val="00536930"/>
    <w:rsid w:val="00564E53"/>
    <w:rsid w:val="005879D0"/>
    <w:rsid w:val="00644FE2"/>
    <w:rsid w:val="0067640C"/>
    <w:rsid w:val="006915E5"/>
    <w:rsid w:val="006E678B"/>
    <w:rsid w:val="00774C81"/>
    <w:rsid w:val="007757F3"/>
    <w:rsid w:val="007E6AEB"/>
    <w:rsid w:val="00882229"/>
    <w:rsid w:val="008973EE"/>
    <w:rsid w:val="00971600"/>
    <w:rsid w:val="009973B4"/>
    <w:rsid w:val="009C28C1"/>
    <w:rsid w:val="009F7EED"/>
    <w:rsid w:val="00AF0AAB"/>
    <w:rsid w:val="00BF597E"/>
    <w:rsid w:val="00C51A36"/>
    <w:rsid w:val="00C55228"/>
    <w:rsid w:val="00C96CCE"/>
    <w:rsid w:val="00CB7E78"/>
    <w:rsid w:val="00CE315A"/>
    <w:rsid w:val="00D06F59"/>
    <w:rsid w:val="00D8388C"/>
    <w:rsid w:val="00EB0164"/>
    <w:rsid w:val="00ED0F62"/>
    <w:rsid w:val="01237055"/>
    <w:rsid w:val="014321E6"/>
    <w:rsid w:val="02602D37"/>
    <w:rsid w:val="02EC0344"/>
    <w:rsid w:val="031C06B3"/>
    <w:rsid w:val="036A70FE"/>
    <w:rsid w:val="03F04342"/>
    <w:rsid w:val="043A2F29"/>
    <w:rsid w:val="055A79E5"/>
    <w:rsid w:val="066948D2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DDF4B40"/>
    <w:rsid w:val="0E4201EE"/>
    <w:rsid w:val="0E9D1693"/>
    <w:rsid w:val="0EB50B3B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F7510A"/>
    <w:rsid w:val="1712415C"/>
    <w:rsid w:val="17924A21"/>
    <w:rsid w:val="17A67230"/>
    <w:rsid w:val="17BE048E"/>
    <w:rsid w:val="18D3715E"/>
    <w:rsid w:val="197C75B5"/>
    <w:rsid w:val="19FD4570"/>
    <w:rsid w:val="1A57282B"/>
    <w:rsid w:val="1AA210F7"/>
    <w:rsid w:val="1B0065D0"/>
    <w:rsid w:val="1B087E14"/>
    <w:rsid w:val="1CAD5010"/>
    <w:rsid w:val="1D1242D7"/>
    <w:rsid w:val="1D86717A"/>
    <w:rsid w:val="1E350D4D"/>
    <w:rsid w:val="1E54581A"/>
    <w:rsid w:val="1E6E174C"/>
    <w:rsid w:val="1ED45FD8"/>
    <w:rsid w:val="200E4909"/>
    <w:rsid w:val="202C6533"/>
    <w:rsid w:val="20444302"/>
    <w:rsid w:val="20961A16"/>
    <w:rsid w:val="20F10CE7"/>
    <w:rsid w:val="21122D5D"/>
    <w:rsid w:val="221C084C"/>
    <w:rsid w:val="227257C1"/>
    <w:rsid w:val="22D7582D"/>
    <w:rsid w:val="23235F87"/>
    <w:rsid w:val="23732F32"/>
    <w:rsid w:val="24BD65A1"/>
    <w:rsid w:val="255D6D75"/>
    <w:rsid w:val="25C71E86"/>
    <w:rsid w:val="25D826BB"/>
    <w:rsid w:val="261D2BC4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C04664A"/>
    <w:rsid w:val="2C917839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7711BB"/>
    <w:rsid w:val="32860EED"/>
    <w:rsid w:val="32A818D5"/>
    <w:rsid w:val="330F505D"/>
    <w:rsid w:val="3328502A"/>
    <w:rsid w:val="332B0841"/>
    <w:rsid w:val="33997DE2"/>
    <w:rsid w:val="3494193A"/>
    <w:rsid w:val="34DA7F4E"/>
    <w:rsid w:val="352019F8"/>
    <w:rsid w:val="35AE2D88"/>
    <w:rsid w:val="35C13BFD"/>
    <w:rsid w:val="35C26EE4"/>
    <w:rsid w:val="369C0637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A6CF0"/>
    <w:rsid w:val="3DB92AC4"/>
    <w:rsid w:val="3EC07009"/>
    <w:rsid w:val="3F1C24D3"/>
    <w:rsid w:val="3F1F20F4"/>
    <w:rsid w:val="3FFD17CC"/>
    <w:rsid w:val="40425DD8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B04046"/>
    <w:rsid w:val="44483C60"/>
    <w:rsid w:val="45BE3CAA"/>
    <w:rsid w:val="461A5941"/>
    <w:rsid w:val="461C30E9"/>
    <w:rsid w:val="463175C9"/>
    <w:rsid w:val="46A0119E"/>
    <w:rsid w:val="46CB5A97"/>
    <w:rsid w:val="46DB4564"/>
    <w:rsid w:val="479033F0"/>
    <w:rsid w:val="47FF0F4B"/>
    <w:rsid w:val="48160645"/>
    <w:rsid w:val="48210BFD"/>
    <w:rsid w:val="48752520"/>
    <w:rsid w:val="48D92A98"/>
    <w:rsid w:val="493A73ED"/>
    <w:rsid w:val="4A02594A"/>
    <w:rsid w:val="4A174CB7"/>
    <w:rsid w:val="4B511DE2"/>
    <w:rsid w:val="4C017549"/>
    <w:rsid w:val="4CFF3B84"/>
    <w:rsid w:val="4D4E2263"/>
    <w:rsid w:val="4EA8785F"/>
    <w:rsid w:val="4F9420A0"/>
    <w:rsid w:val="4FA333A8"/>
    <w:rsid w:val="4FC219C0"/>
    <w:rsid w:val="50A05722"/>
    <w:rsid w:val="50FA26C7"/>
    <w:rsid w:val="52BF26AB"/>
    <w:rsid w:val="53444639"/>
    <w:rsid w:val="546315FC"/>
    <w:rsid w:val="55204D35"/>
    <w:rsid w:val="552B454E"/>
    <w:rsid w:val="556D7264"/>
    <w:rsid w:val="55C73815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4A53A2"/>
    <w:rsid w:val="5C083D41"/>
    <w:rsid w:val="5C872F74"/>
    <w:rsid w:val="5D036FFF"/>
    <w:rsid w:val="5D3741CB"/>
    <w:rsid w:val="5E243229"/>
    <w:rsid w:val="5E2D3CAF"/>
    <w:rsid w:val="5E7D51D5"/>
    <w:rsid w:val="5E9A53DF"/>
    <w:rsid w:val="5EA12B9A"/>
    <w:rsid w:val="5EAC1CF0"/>
    <w:rsid w:val="5EB9199F"/>
    <w:rsid w:val="5EBF0B8F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2C57B3"/>
    <w:rsid w:val="65591207"/>
    <w:rsid w:val="65967FA2"/>
    <w:rsid w:val="65D63B50"/>
    <w:rsid w:val="6626385E"/>
    <w:rsid w:val="67706016"/>
    <w:rsid w:val="689209ED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148BB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59038B"/>
    <w:rsid w:val="725D5CB2"/>
    <w:rsid w:val="72716478"/>
    <w:rsid w:val="72724CB0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8104A82"/>
    <w:rsid w:val="78113928"/>
    <w:rsid w:val="782B046B"/>
    <w:rsid w:val="789A3093"/>
    <w:rsid w:val="78B623DE"/>
    <w:rsid w:val="79BA1408"/>
    <w:rsid w:val="79EC345A"/>
    <w:rsid w:val="7A037F40"/>
    <w:rsid w:val="7A7C15BD"/>
    <w:rsid w:val="7B1156A0"/>
    <w:rsid w:val="7B1D7775"/>
    <w:rsid w:val="7B5444C2"/>
    <w:rsid w:val="7CC273FE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widowControl/>
      <w:ind w:left="100" w:leftChars="2500"/>
      <w:jc w:val="left"/>
    </w:pPr>
    <w:rPr>
      <w:kern w:val="0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7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1">
    <w:name w:val="附录表标题"/>
    <w:next w:val="1"/>
    <w:qFormat/>
    <w:uiPriority w:val="0"/>
    <w:pPr>
      <w:numPr>
        <w:ilvl w:val="0"/>
        <w:numId w:val="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1013</Words>
  <Characters>5780</Characters>
  <Lines>48</Lines>
  <Paragraphs>13</Paragraphs>
  <TotalTime>0</TotalTime>
  <ScaleCrop>false</ScaleCrop>
  <LinksUpToDate>false</LinksUpToDate>
  <CharactersWithSpaces>6780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2021-02-23T13:13:42Z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