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0099-2021-QEO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唐山顺华混凝土有限公司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Tangshan Shunhua Concrete Co., Ltd</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唐山开平区栗园镇双庙村南</w:t>
      </w:r>
      <w:bookmarkEnd w:id="3"/>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063207</w:t>
      </w:r>
      <w:bookmarkEnd w:id="4"/>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(英文)：South of Shuangmiao village, Liyuan Town, Kaiping District, Tangshan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pacing w:val="-2"/>
          <w:sz w:val="22"/>
          <w:szCs w:val="22"/>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唐山开平区栗园镇双庙村南</w:t>
      </w:r>
      <w:bookmarkEnd w:id="5"/>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063207</w:t>
      </w:r>
      <w:bookmarkEnd w:id="6"/>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(英文)：South of Shuangmiao village, Liyuan Town, Kaiping District, Tangshan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911302055700762187</w:t>
      </w:r>
      <w:bookmarkEnd w:id="7"/>
      <w:r>
        <w:rPr>
          <w:rFonts w:hint="eastAsia"/>
          <w:b w:val="0"/>
          <w:bCs/>
          <w:color w:val="000000" w:themeColor="text1"/>
          <w:sz w:val="22"/>
          <w:szCs w:val="22"/>
          <w:lang w:eastAsia="zh-CN"/>
        </w:rPr>
        <w:t>，</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15032424243</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张顺华</w:t>
      </w:r>
      <w:bookmarkEnd w:id="10"/>
      <w:r>
        <w:rPr>
          <w:rFonts w:hint="eastAsia"/>
          <w:b w:val="0"/>
          <w:bCs/>
          <w:color w:val="000000" w:themeColor="text1"/>
          <w:sz w:val="22"/>
          <w:szCs w:val="22"/>
          <w:lang w:eastAsia="zh-CN"/>
        </w:rPr>
        <w:t>，</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侯占秋</w:t>
      </w:r>
      <w:bookmarkEnd w:id="11"/>
      <w:r>
        <w:rPr>
          <w:rFonts w:hint="eastAsia"/>
          <w:b w:val="0"/>
          <w:bCs/>
          <w:color w:val="000000" w:themeColor="text1"/>
          <w:sz w:val="22"/>
          <w:szCs w:val="22"/>
          <w:lang w:eastAsia="zh-CN"/>
        </w:rPr>
        <w:t>，</w:t>
      </w:r>
      <w:r>
        <w:rPr>
          <w:rFonts w:hint="eastAsia"/>
          <w:b w:val="0"/>
          <w:bCs/>
          <w:color w:val="000000" w:themeColor="text1"/>
          <w:sz w:val="22"/>
          <w:szCs w:val="22"/>
        </w:rPr>
        <w:t>组织人数：</w:t>
      </w:r>
      <w:bookmarkStart w:id="12" w:name="企业人数"/>
      <w:r>
        <w:rPr>
          <w:b w:val="0"/>
          <w:bCs/>
          <w:color w:val="000000" w:themeColor="text1"/>
          <w:sz w:val="22"/>
          <w:szCs w:val="22"/>
        </w:rPr>
        <w:t>30</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Q：GB/T19001-2016/ISO9001:2015,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Q:二阶段,E:二阶段,O:二阶段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bookmarkStart w:id="15" w:name="审核范围"/>
      <w:r>
        <w:rPr>
          <w:rFonts w:hint="eastAsia"/>
          <w:b w:val="0"/>
          <w:bCs/>
          <w:color w:val="000000" w:themeColor="text1"/>
          <w:sz w:val="22"/>
          <w:szCs w:val="22"/>
        </w:rPr>
        <w:t>Q：资质范围内的预拌商品混凝土的生产</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E：资质范围内的预拌商品混凝土的生产所涉及场所的相关环境管理活动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O：资质范围内的预拌商品混凝土的生产所涉及场所的相关职业健康安全管理活动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QMS（英文）：Production of ready mixed commercial concrete within the scope of qualification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EMS（英文）：</w:t>
      </w:r>
      <w:r>
        <w:rPr>
          <w:rFonts w:ascii="Times New Roman"/>
          <w:b w:val="0"/>
          <w:bCs/>
          <w:sz w:val="21"/>
          <w:szCs w:val="21"/>
        </w:rPr>
        <w:t>The Relative Environment Management Activities about</w:t>
      </w:r>
      <w:r>
        <w:rPr>
          <w:rFonts w:hint="eastAsia" w:ascii="Times New Roman"/>
          <w:b w:val="0"/>
          <w:bCs/>
          <w:sz w:val="21"/>
          <w:szCs w:val="21"/>
          <w:lang w:val="en-US" w:eastAsia="zh-CN"/>
        </w:rPr>
        <w:t xml:space="preserve"> </w:t>
      </w:r>
      <w:r>
        <w:rPr>
          <w:rFonts w:hint="eastAsia"/>
          <w:b w:val="0"/>
          <w:bCs/>
          <w:color w:val="000000" w:themeColor="text1"/>
          <w:sz w:val="22"/>
          <w:szCs w:val="22"/>
        </w:rPr>
        <w:t>Production of ready mixed commercial concrete within the scope of qualification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u w:val="single"/>
          <w:lang w:eastAsia="zh-CN"/>
        </w:rPr>
      </w:pPr>
      <w:r>
        <w:rPr>
          <w:rFonts w:hint="eastAsia"/>
          <w:b w:val="0"/>
          <w:bCs/>
          <w:color w:val="000000" w:themeColor="text1"/>
          <w:sz w:val="22"/>
          <w:szCs w:val="22"/>
          <w:lang w:eastAsia="zh-CN"/>
        </w:rPr>
        <w:t>☑</w:t>
      </w:r>
      <w:r>
        <w:rPr>
          <w:rFonts w:hint="eastAsia"/>
          <w:b w:val="0"/>
          <w:bCs/>
          <w:color w:val="000000" w:themeColor="text1"/>
          <w:sz w:val="22"/>
          <w:szCs w:val="22"/>
        </w:rPr>
        <w:t>OHSMS（英文）</w:t>
      </w:r>
      <w:r>
        <w:rPr>
          <w:rFonts w:hint="eastAsia"/>
          <w:b w:val="0"/>
          <w:bCs/>
          <w:color w:val="000000" w:themeColor="text1"/>
          <w:sz w:val="22"/>
          <w:szCs w:val="22"/>
          <w:lang w:eastAsia="zh-CN"/>
        </w:rPr>
        <w:t>：</w:t>
      </w:r>
      <w:r>
        <w:rPr>
          <w:rFonts w:ascii="Times New Roman"/>
          <w:b w:val="0"/>
          <w:bCs/>
          <w:sz w:val="21"/>
          <w:szCs w:val="21"/>
        </w:rPr>
        <w:t>The Relative Occupational Health Safety Management Activities about</w:t>
      </w:r>
      <w:r>
        <w:rPr>
          <w:rFonts w:hint="eastAsia" w:ascii="Times New Roman"/>
          <w:b w:val="0"/>
          <w:bCs/>
          <w:sz w:val="21"/>
          <w:szCs w:val="21"/>
          <w:lang w:val="en-US" w:eastAsia="zh-CN"/>
        </w:rPr>
        <w:t xml:space="preserve"> </w:t>
      </w:r>
      <w:r>
        <w:rPr>
          <w:rFonts w:hint="eastAsia"/>
          <w:b w:val="0"/>
          <w:bCs/>
          <w:color w:val="000000" w:themeColor="text1"/>
          <w:sz w:val="22"/>
          <w:szCs w:val="22"/>
          <w:lang w:eastAsia="zh-CN"/>
        </w:rPr>
        <w:t>Production of ready mixed commercial concrete within the scope of qualification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证书类型：</w:t>
      </w:r>
      <w:r>
        <w:rPr>
          <w:rFonts w:ascii="Wingdings 2" w:hAnsi="Wingdings 2"/>
          <w:b w:val="0"/>
          <w:bCs/>
          <w:color w:val="0000FF"/>
          <w:sz w:val="22"/>
          <w:szCs w:val="22"/>
        </w:rPr>
        <w:sym w:font="Wingdings 2" w:char="F0A3"/>
      </w:r>
      <w:r>
        <w:rPr>
          <w:rFonts w:ascii="Symbol" w:hAnsi="Symbol"/>
          <w:b w:val="0"/>
          <w:bCs/>
          <w:color w:val="0000FF"/>
          <w:sz w:val="22"/>
          <w:szCs w:val="22"/>
        </w:rPr>
        <w:sym w:font="Symbol" w:char="F0D6"/>
      </w:r>
      <w:r>
        <w:rPr>
          <w:rFonts w:hint="eastAsia"/>
          <w:b w:val="0"/>
          <w:bCs/>
          <w:color w:val="0000FF"/>
          <w:sz w:val="22"/>
          <w:szCs w:val="22"/>
        </w:rPr>
        <w:t>纸质</w:t>
      </w:r>
      <w:r>
        <w:rPr>
          <w:rFonts w:hint="eastAsia"/>
          <w:b w:val="0"/>
          <w:bCs/>
          <w:color w:val="000000" w:themeColor="text1"/>
          <w:sz w:val="22"/>
          <w:szCs w:val="22"/>
        </w:rPr>
        <w:t xml:space="preserve">   </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电子版（在</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打</w:t>
      </w:r>
      <w:r>
        <w:rPr>
          <w:rFonts w:ascii="Symbol" w:hAnsi="Symbol"/>
          <w:b w:val="0"/>
          <w:bCs/>
          <w:color w:val="000000" w:themeColor="text1"/>
          <w:sz w:val="22"/>
          <w:szCs w:val="22"/>
        </w:rPr>
        <w:sym w:font="Symbol" w:char="F0D6"/>
      </w:r>
      <w:r>
        <w:rPr>
          <w:rFonts w:hint="eastAsia"/>
          <w:b w:val="0"/>
          <w:bCs/>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ascii="宋体" w:hAnsi="宋体" w:eastAsia="宋体"/>
          <w:sz w:val="21"/>
          <w:lang w:eastAsia="zh-CN"/>
        </w:rPr>
        <w:drawing>
          <wp:anchor distT="0" distB="0" distL="114300" distR="114300" simplePos="0" relativeHeight="251660288" behindDoc="0" locked="0" layoutInCell="1" allowOverlap="1">
            <wp:simplePos x="0" y="0"/>
            <wp:positionH relativeFrom="column">
              <wp:posOffset>3716655</wp:posOffset>
            </wp:positionH>
            <wp:positionV relativeFrom="paragraph">
              <wp:posOffset>38100</wp:posOffset>
            </wp:positionV>
            <wp:extent cx="963930" cy="46418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5"/>
                    <a:stretch>
                      <a:fillRect/>
                    </a:stretch>
                  </pic:blipFill>
                  <pic:spPr>
                    <a:xfrm>
                      <a:off x="0" y="0"/>
                      <a:ext cx="963930" cy="464185"/>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bCs w:val="0"/>
          <w:color w:val="000000" w:themeColor="text1"/>
          <w:sz w:val="22"/>
          <w:szCs w:val="22"/>
        </w:rPr>
      </w:pPr>
      <w:r>
        <w:rPr>
          <w:rFonts w:hint="eastAsia"/>
          <w:b/>
          <w:bCs w:val="0"/>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default" w:eastAsia="宋体"/>
          <w:b/>
          <w:bCs w:val="0"/>
          <w:color w:val="000000" w:themeColor="text1"/>
          <w:sz w:val="22"/>
          <w:szCs w:val="22"/>
          <w:lang w:val="en-US" w:eastAsia="zh-CN"/>
        </w:rPr>
      </w:pPr>
      <w:r>
        <w:rPr>
          <w:rFonts w:hint="eastAsia"/>
          <w:b/>
          <w:bCs w:val="0"/>
          <w:color w:val="000000" w:themeColor="text1"/>
          <w:sz w:val="22"/>
          <w:szCs w:val="22"/>
        </w:rPr>
        <w:t>日期：</w:t>
      </w:r>
      <w:r>
        <w:rPr>
          <w:rFonts w:hint="eastAsia"/>
          <w:b/>
          <w:bCs w:val="0"/>
          <w:color w:val="000000" w:themeColor="text1"/>
          <w:sz w:val="22"/>
          <w:szCs w:val="22"/>
          <w:lang w:val="en-US" w:eastAsia="zh-CN"/>
        </w:rPr>
        <w:t>2021.2.9</w:t>
      </w:r>
      <w:r>
        <w:rPr>
          <w:rFonts w:hint="eastAsia"/>
          <w:b/>
          <w:bCs w:val="0"/>
          <w:color w:val="000000" w:themeColor="text1"/>
          <w:sz w:val="22"/>
          <w:szCs w:val="22"/>
        </w:rPr>
        <w:t xml:space="preserve">                               日期：</w:t>
      </w:r>
      <w:r>
        <w:rPr>
          <w:rFonts w:hint="eastAsia"/>
          <w:b/>
          <w:bCs w:val="0"/>
          <w:color w:val="000000" w:themeColor="text1"/>
          <w:sz w:val="22"/>
          <w:szCs w:val="22"/>
          <w:lang w:val="en-US" w:eastAsia="zh-CN"/>
        </w:rPr>
        <w:t>2021.2.9</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82360" cy="8601710"/>
            <wp:effectExtent l="0" t="0" r="2540" b="8890"/>
            <wp:docPr id="3" name="图片 3" descr="二阶段审核资料 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二阶段审核资料 008"/>
                    <pic:cNvPicPr>
                      <a:picLocks noChangeAspect="1"/>
                    </pic:cNvPicPr>
                  </pic:nvPicPr>
                  <pic:blipFill>
                    <a:blip r:embed="rId6"/>
                    <a:stretch>
                      <a:fillRect/>
                    </a:stretch>
                  </pic:blipFill>
                  <pic:spPr>
                    <a:xfrm>
                      <a:off x="0" y="0"/>
                      <a:ext cx="6182360" cy="8601710"/>
                    </a:xfrm>
                    <a:prstGeom prst="rect">
                      <a:avLst/>
                    </a:prstGeom>
                  </pic:spPr>
                </pic:pic>
              </a:graphicData>
            </a:graphic>
          </wp:inline>
        </w:drawing>
      </w:r>
      <w:bookmarkStart w:id="16" w:name="_GoBack"/>
      <w:bookmarkEnd w:id="16"/>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64A388"/>
    <w:multiLevelType w:val="singleLevel"/>
    <w:tmpl w:val="C964A38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2883F93"/>
    <w:rsid w:val="3A9B5A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2021-02-18T07:51:16Z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