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唐山顺华混凝土有限公司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张鑫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审核发现，未提供对产品运输方进行了评价，并施加了环境职业健康安全影响的证据。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9504" behindDoc="0" locked="0" layoutInCell="1" allowOverlap="1">
                  <wp:simplePos x="0" y="0"/>
                  <wp:positionH relativeFrom="column">
                    <wp:posOffset>5407660</wp:posOffset>
                  </wp:positionH>
                  <wp:positionV relativeFrom="paragraph">
                    <wp:posOffset>17145</wp:posOffset>
                  </wp:positionV>
                  <wp:extent cx="692150" cy="463550"/>
                  <wp:effectExtent l="0" t="0" r="6350" b="635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692150" cy="463550"/>
                          </a:xfrm>
                          <a:prstGeom prst="rect">
                            <a:avLst/>
                          </a:prstGeom>
                          <a:noFill/>
                          <a:ln>
                            <a:noFill/>
                          </a:ln>
                        </pic:spPr>
                      </pic:pic>
                    </a:graphicData>
                  </a:graphic>
                </wp:anchor>
              </w:drawing>
            </w:r>
            <w:r>
              <w:rPr>
                <w:rFonts w:hint="eastAsia" w:ascii="宋体" w:hAnsi="宋体" w:eastAsia="宋体"/>
                <w:sz w:val="21"/>
                <w:lang w:eastAsia="zh-CN"/>
              </w:rPr>
              <w:drawing>
                <wp:anchor distT="0" distB="0" distL="114300" distR="114300" simplePos="0" relativeHeight="251663360" behindDoc="0" locked="0" layoutInCell="1" allowOverlap="1">
                  <wp:simplePos x="0" y="0"/>
                  <wp:positionH relativeFrom="column">
                    <wp:posOffset>3020060</wp:posOffset>
                  </wp:positionH>
                  <wp:positionV relativeFrom="paragraph">
                    <wp:posOffset>41910</wp:posOffset>
                  </wp:positionV>
                  <wp:extent cx="963930" cy="464185"/>
                  <wp:effectExtent l="0" t="0" r="0" b="0"/>
                  <wp:wrapNone/>
                  <wp:docPr id="3"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190904151347"/>
                          <pic:cNvPicPr>
                            <a:picLocks noChangeAspect="1"/>
                          </pic:cNvPicPr>
                        </pic:nvPicPr>
                        <pic:blipFill>
                          <a:blip r:embed="rId7"/>
                          <a:stretch>
                            <a:fillRect/>
                          </a:stretch>
                        </pic:blipFill>
                        <pic:spPr>
                          <a:xfrm>
                            <a:off x="0" y="0"/>
                            <a:ext cx="963930" cy="464185"/>
                          </a:xfrm>
                          <a:prstGeom prst="rect">
                            <a:avLst/>
                          </a:prstGeom>
                          <a:noFill/>
                          <a:ln>
                            <a:noFill/>
                          </a:ln>
                        </pic:spPr>
                      </pic:pic>
                    </a:graphicData>
                  </a:graphic>
                </wp:anchor>
              </w:drawing>
            </w:r>
            <w:r>
              <w:rPr>
                <w:rFonts w:hint="eastAsia" w:ascii="宋体" w:eastAsia="宋体"/>
                <w:b/>
                <w:color w:val="000000"/>
                <w:lang w:eastAsia="zh-CN"/>
              </w:rPr>
              <w:drawing>
                <wp:anchor distT="0" distB="0" distL="114300" distR="114300" simplePos="0" relativeHeight="251668480" behindDoc="0" locked="0" layoutInCell="1" allowOverlap="1">
                  <wp:simplePos x="0" y="0"/>
                  <wp:positionH relativeFrom="column">
                    <wp:posOffset>1364615</wp:posOffset>
                  </wp:positionH>
                  <wp:positionV relativeFrom="paragraph">
                    <wp:posOffset>105410</wp:posOffset>
                  </wp:positionV>
                  <wp:extent cx="1007110" cy="440055"/>
                  <wp:effectExtent l="0" t="0" r="8890" b="4445"/>
                  <wp:wrapNone/>
                  <wp:docPr id="4"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32f67c90857df5b6493e827f97d2b6"/>
                          <pic:cNvPicPr>
                            <a:picLocks noChangeAspect="1"/>
                          </pic:cNvPicPr>
                        </pic:nvPicPr>
                        <pic:blipFill>
                          <a:blip r:embed="rId8"/>
                          <a:stretch>
                            <a:fillRect/>
                          </a:stretch>
                        </pic:blipFill>
                        <pic:spPr>
                          <a:xfrm>
                            <a:off x="0" y="0"/>
                            <a:ext cx="1007110" cy="440055"/>
                          </a:xfrm>
                          <a:prstGeom prst="rect">
                            <a:avLst/>
                          </a:prstGeom>
                          <a:noFill/>
                          <a:ln>
                            <a:noFill/>
                          </a:ln>
                        </pic:spPr>
                      </pic:pic>
                    </a:graphicData>
                  </a:graphic>
                </wp:anchor>
              </w:drawing>
            </w:r>
            <w:r>
              <w:rPr>
                <w:rFonts w:hint="eastAsia" w:ascii="宋体" w:hAnsi="宋体" w:eastAsia="宋体"/>
                <w:sz w:val="21"/>
                <w:lang w:eastAsia="zh-CN"/>
              </w:rPr>
              <w:drawing>
                <wp:anchor distT="0" distB="0" distL="114300" distR="114300" simplePos="0" relativeHeight="251660288" behindDoc="0" locked="0" layoutInCell="1" allowOverlap="1">
                  <wp:simplePos x="0" y="0"/>
                  <wp:positionH relativeFrom="column">
                    <wp:posOffset>434340</wp:posOffset>
                  </wp:positionH>
                  <wp:positionV relativeFrom="paragraph">
                    <wp:posOffset>41910</wp:posOffset>
                  </wp:positionV>
                  <wp:extent cx="963930"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963930" cy="46418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 xml:space="preserve">审核员：                     </w:t>
            </w:r>
            <w:r>
              <w:rPr>
                <w:rFonts w:hint="eastAsia" w:ascii="方正仿宋简体" w:eastAsia="方正仿宋简体"/>
                <w:b/>
                <w:sz w:val="24"/>
                <w:lang w:val="en-US" w:eastAsia="zh-CN"/>
              </w:rPr>
              <w:t xml:space="preserve">  </w:t>
            </w:r>
            <w:r>
              <w:rPr>
                <w:rFonts w:hint="eastAsia" w:ascii="方正仿宋简体" w:eastAsia="方正仿宋简体"/>
                <w:b/>
                <w:sz w:val="24"/>
              </w:rPr>
              <w:t>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2021.2.9</w:t>
            </w:r>
            <w:r>
              <w:rPr>
                <w:rFonts w:hint="eastAsia" w:ascii="方正仿宋简体" w:eastAsia="方正仿宋简体"/>
                <w:b/>
                <w:sz w:val="24"/>
              </w:rPr>
              <w:t xml:space="preserve">               日    期：</w:t>
            </w:r>
            <w:r>
              <w:rPr>
                <w:rFonts w:hint="eastAsia" w:ascii="方正仿宋简体" w:eastAsia="方正仿宋简体"/>
                <w:b/>
                <w:sz w:val="24"/>
                <w:lang w:val="en-US" w:eastAsia="zh-CN"/>
              </w:rPr>
              <w:t>2021.2.9</w:t>
            </w:r>
            <w:r>
              <w:rPr>
                <w:rFonts w:hint="eastAsia" w:ascii="方正仿宋简体" w:eastAsia="方正仿宋简体"/>
                <w:b/>
                <w:sz w:val="24"/>
              </w:rPr>
              <w:t xml:space="preserve">        日    期：</w:t>
            </w:r>
            <w:r>
              <w:rPr>
                <w:rFonts w:hint="eastAsia" w:ascii="方正仿宋简体" w:eastAsia="方正仿宋简体"/>
                <w:b/>
                <w:sz w:val="24"/>
                <w:lang w:val="en-US" w:eastAsia="zh-CN"/>
              </w:rPr>
              <w:t>2021.2.9</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提供了“供方评价记录”“致相关方的公开信”“培训记录”，</w:t>
            </w:r>
          </w:p>
          <w:p>
            <w:pPr>
              <w:spacing w:before="120" w:line="360" w:lineRule="auto"/>
              <w:rPr>
                <w:rFonts w:ascii="方正仿宋简体" w:eastAsia="方正仿宋简体"/>
                <w:b/>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宋体" w:hAnsi="宋体" w:eastAsia="宋体"/>
                <w:sz w:val="21"/>
                <w:lang w:eastAsia="zh-CN"/>
              </w:rPr>
              <w:drawing>
                <wp:anchor distT="0" distB="0" distL="114300" distR="114300" simplePos="0" relativeHeight="251675648" behindDoc="0" locked="0" layoutInCell="1" allowOverlap="1">
                  <wp:simplePos x="0" y="0"/>
                  <wp:positionH relativeFrom="column">
                    <wp:posOffset>3743960</wp:posOffset>
                  </wp:positionH>
                  <wp:positionV relativeFrom="paragraph">
                    <wp:posOffset>290830</wp:posOffset>
                  </wp:positionV>
                  <wp:extent cx="963930" cy="464185"/>
                  <wp:effectExtent l="0" t="0" r="0" b="0"/>
                  <wp:wrapNone/>
                  <wp:docPr id="6"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190904151347"/>
                          <pic:cNvPicPr>
                            <a:picLocks noChangeAspect="1"/>
                          </pic:cNvPicPr>
                        </pic:nvPicPr>
                        <pic:blipFill>
                          <a:blip r:embed="rId7"/>
                          <a:stretch>
                            <a:fillRect/>
                          </a:stretch>
                        </pic:blipFill>
                        <pic:spPr>
                          <a:xfrm>
                            <a:off x="0" y="0"/>
                            <a:ext cx="963930" cy="464185"/>
                          </a:xfrm>
                          <a:prstGeom prst="rect">
                            <a:avLst/>
                          </a:prstGeom>
                          <a:noFill/>
                          <a:ln>
                            <a:noFill/>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2021.2.18</w:t>
            </w:r>
            <w:r>
              <w:rPr>
                <w:rFonts w:hint="eastAsia" w:ascii="方正仿宋简体" w:eastAsia="方正仿宋简体"/>
                <w:b/>
              </w:rPr>
              <w:t xml:space="preserve">       </w:t>
            </w:r>
          </w:p>
        </w:tc>
      </w:tr>
    </w:tbl>
    <w:p>
      <w:pPr>
        <w:rPr>
          <w:rFonts w:eastAsia="黑体"/>
          <w:sz w:val="24"/>
        </w:rPr>
      </w:pPr>
      <w:r>
        <w:rPr>
          <w:rFonts w:eastAsia="黑体"/>
          <w:sz w:val="24"/>
        </w:rPr>
        <w:br w:type="page"/>
      </w:r>
    </w:p>
    <w:p>
      <w:pPr>
        <w:rPr>
          <w:rFonts w:eastAsia="黑体"/>
          <w:sz w:val="24"/>
        </w:rPr>
      </w:pPr>
      <w:r>
        <w:rPr>
          <w:rFonts w:hint="eastAsia" w:eastAsia="黑体"/>
          <w:b/>
          <w:lang w:eastAsia="zh-CN"/>
        </w:rPr>
        <w:drawing>
          <wp:anchor distT="0" distB="0" distL="114300" distR="114300" simplePos="0" relativeHeight="251676672" behindDoc="0" locked="0" layoutInCell="1" allowOverlap="1">
            <wp:simplePos x="0" y="0"/>
            <wp:positionH relativeFrom="column">
              <wp:posOffset>-1029970</wp:posOffset>
            </wp:positionH>
            <wp:positionV relativeFrom="paragraph">
              <wp:posOffset>1280160</wp:posOffset>
            </wp:positionV>
            <wp:extent cx="8262620" cy="5748655"/>
            <wp:effectExtent l="0" t="0" r="4445" b="5080"/>
            <wp:wrapNone/>
            <wp:docPr id="7" name="图片 7" descr="文件审核报告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文件审核报告 002"/>
                    <pic:cNvPicPr>
                      <a:picLocks noChangeAspect="1"/>
                    </pic:cNvPicPr>
                  </pic:nvPicPr>
                  <pic:blipFill>
                    <a:blip r:embed="rId9"/>
                    <a:stretch>
                      <a:fillRect/>
                    </a:stretch>
                  </pic:blipFill>
                  <pic:spPr>
                    <a:xfrm rot="5400000">
                      <a:off x="0" y="0"/>
                      <a:ext cx="8262620" cy="5748655"/>
                    </a:xfrm>
                    <a:prstGeom prst="rect">
                      <a:avLst/>
                    </a:prstGeom>
                  </pic:spPr>
                </pic:pic>
              </a:graphicData>
            </a:graphic>
          </wp:anchor>
        </w:drawing>
      </w:r>
    </w:p>
    <w:p>
      <w:pPr>
        <w:rPr>
          <w:rFonts w:eastAsia="黑体"/>
          <w:sz w:val="24"/>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rPr>
          <w:rFonts w:hint="eastAsia" w:eastAsia="黑体"/>
          <w:b/>
          <w:lang w:eastAsia="zh-CN"/>
        </w:rPr>
      </w:pPr>
    </w:p>
    <w:p>
      <w:pPr>
        <w:ind w:firstLine="3520" w:firstLineChars="1100"/>
        <w:jc w:val="both"/>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时</w:t>
            </w:r>
            <w:r>
              <w:rPr>
                <w:sz w:val="28"/>
                <w:szCs w:val="28"/>
              </w:rPr>
              <w:t xml:space="preserve">  </w:t>
            </w:r>
            <w:r>
              <w:rPr>
                <w:rFonts w:hint="eastAsia"/>
                <w:sz w:val="28"/>
                <w:szCs w:val="28"/>
              </w:rPr>
              <w:t>间</w:t>
            </w:r>
          </w:p>
        </w:tc>
        <w:tc>
          <w:tcPr>
            <w:tcW w:w="214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30"/>
                <w:lang w:val="en-US" w:eastAsia="zh-CN"/>
              </w:rPr>
            </w:pPr>
            <w:r>
              <w:rPr>
                <w:sz w:val="30"/>
              </w:rPr>
              <w:t>20</w:t>
            </w:r>
            <w:r>
              <w:rPr>
                <w:rFonts w:hint="eastAsia"/>
                <w:sz w:val="30"/>
                <w:lang w:val="en-US" w:eastAsia="zh-CN"/>
              </w:rPr>
              <w:t>21.2.10</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地</w:t>
            </w:r>
            <w:r>
              <w:rPr>
                <w:sz w:val="28"/>
                <w:szCs w:val="28"/>
              </w:rPr>
              <w:t xml:space="preserve">  </w:t>
            </w:r>
            <w:r>
              <w:rPr>
                <w:rFonts w:hint="eastAsia"/>
                <w:sz w:val="28"/>
                <w:szCs w:val="28"/>
              </w:rPr>
              <w:t>点</w:t>
            </w:r>
          </w:p>
        </w:tc>
        <w:tc>
          <w:tcPr>
            <w:tcW w:w="2790"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30"/>
                <w:lang w:eastAsia="zh-CN"/>
              </w:rPr>
            </w:pPr>
            <w:r>
              <w:rPr>
                <w:rFonts w:hint="eastAsia"/>
                <w:sz w:val="30"/>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主</w:t>
            </w:r>
            <w:r>
              <w:rPr>
                <w:sz w:val="28"/>
                <w:szCs w:val="28"/>
              </w:rPr>
              <w:t xml:space="preserve">  </w:t>
            </w:r>
            <w:r>
              <w:rPr>
                <w:rFonts w:hint="eastAsia"/>
                <w:sz w:val="28"/>
                <w:szCs w:val="28"/>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张鑫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color w:val="FF0000"/>
                <w:sz w:val="28"/>
                <w:szCs w:val="28"/>
              </w:rPr>
            </w:pPr>
            <w:r>
              <w:rPr>
                <w:rFonts w:hint="eastAsia"/>
                <w:sz w:val="28"/>
                <w:szCs w:val="28"/>
                <w:lang w:val="en-US" w:eastAsia="zh-CN"/>
              </w:rPr>
              <w:t>供销部</w:t>
            </w:r>
            <w:r>
              <w:rPr>
                <w:rFonts w:hint="eastAsia"/>
                <w:sz w:val="28"/>
                <w:szCs w:val="28"/>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培</w:t>
            </w:r>
          </w:p>
          <w:p>
            <w:pPr>
              <w:jc w:val="center"/>
              <w:rPr>
                <w:sz w:val="28"/>
                <w:szCs w:val="28"/>
              </w:rPr>
            </w:pPr>
            <w:r>
              <w:rPr>
                <w:rFonts w:hint="eastAsia"/>
                <w:sz w:val="28"/>
                <w:szCs w:val="28"/>
              </w:rPr>
              <w:t>训</w:t>
            </w: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内</w:t>
            </w:r>
          </w:p>
          <w:p>
            <w:pPr>
              <w:jc w:val="center"/>
              <w:rPr>
                <w:sz w:val="28"/>
                <w:szCs w:val="28"/>
              </w:rPr>
            </w:pPr>
            <w:r>
              <w:rPr>
                <w:rFonts w:hint="eastAsia"/>
                <w:sz w:val="28"/>
                <w:szCs w:val="28"/>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sz w:val="28"/>
                <w:szCs w:val="28"/>
              </w:rPr>
            </w:pPr>
          </w:p>
          <w:p>
            <w:pPr>
              <w:spacing w:line="360" w:lineRule="auto"/>
              <w:rPr>
                <w:rFonts w:ascii="Times New Roman" w:hAnsi="Times New Roman" w:eastAsia="宋体"/>
                <w:sz w:val="28"/>
                <w:szCs w:val="28"/>
              </w:rPr>
            </w:pPr>
            <w:r>
              <w:rPr>
                <w:rFonts w:ascii="Times New Roman" w:hAnsi="Times New Roman" w:eastAsia="宋体"/>
                <w:sz w:val="28"/>
                <w:szCs w:val="28"/>
              </w:rPr>
              <w:t>1、</w:t>
            </w:r>
            <w:r>
              <w:rPr>
                <w:rFonts w:hint="eastAsia" w:ascii="Times New Roman" w:hAnsi="Times New Roman" w:eastAsia="宋体"/>
                <w:sz w:val="28"/>
                <w:szCs w:val="28"/>
              </w:rPr>
              <w:t>GB/T19001-2016标准的</w:t>
            </w:r>
            <w:r>
              <w:rPr>
                <w:rFonts w:hint="eastAsia" w:ascii="Times New Roman" w:hAnsi="Times New Roman" w:eastAsia="宋体"/>
                <w:sz w:val="28"/>
                <w:szCs w:val="28"/>
                <w:lang w:val="en-US" w:eastAsia="zh-CN"/>
              </w:rPr>
              <w:t>8.4.1</w:t>
            </w:r>
            <w:r>
              <w:rPr>
                <w:rFonts w:hint="eastAsia" w:ascii="Times New Roman" w:hAnsi="Times New Roman" w:eastAsia="宋体"/>
                <w:sz w:val="28"/>
                <w:szCs w:val="28"/>
              </w:rPr>
              <w:t>条款，GB/T24001-2016标准的</w:t>
            </w:r>
            <w:r>
              <w:rPr>
                <w:rFonts w:hint="eastAsia" w:ascii="Times New Roman" w:hAnsi="Times New Roman" w:eastAsia="宋体"/>
                <w:sz w:val="28"/>
                <w:szCs w:val="28"/>
                <w:lang w:val="en-US" w:eastAsia="zh-CN"/>
              </w:rPr>
              <w:t>8.1</w:t>
            </w:r>
            <w:r>
              <w:rPr>
                <w:rFonts w:hint="eastAsia" w:ascii="Times New Roman" w:hAnsi="Times New Roman" w:eastAsia="宋体"/>
                <w:sz w:val="28"/>
                <w:szCs w:val="28"/>
              </w:rPr>
              <w:t>条款，</w:t>
            </w:r>
            <w:r>
              <w:rPr>
                <w:rFonts w:hint="eastAsia"/>
                <w:sz w:val="28"/>
                <w:szCs w:val="28"/>
                <w:lang w:val="en-US" w:eastAsia="zh-CN"/>
              </w:rPr>
              <w:t>GB/T</w:t>
            </w:r>
            <w:r>
              <w:rPr>
                <w:rFonts w:hint="eastAsia" w:ascii="Times New Roman" w:hAnsi="Times New Roman" w:eastAsia="宋体"/>
                <w:sz w:val="28"/>
                <w:szCs w:val="28"/>
                <w:lang w:val="en-US" w:eastAsia="zh-CN"/>
              </w:rPr>
              <w:t>45001</w:t>
            </w:r>
            <w:r>
              <w:rPr>
                <w:rFonts w:hint="eastAsia"/>
                <w:sz w:val="28"/>
                <w:szCs w:val="28"/>
                <w:lang w:val="en-US" w:eastAsia="zh-CN"/>
              </w:rPr>
              <w:t>-2020</w:t>
            </w:r>
            <w:r>
              <w:rPr>
                <w:rFonts w:hint="eastAsia" w:ascii="Times New Roman" w:hAnsi="Times New Roman" w:eastAsia="宋体"/>
                <w:sz w:val="28"/>
                <w:szCs w:val="28"/>
              </w:rPr>
              <w:t>标准的</w:t>
            </w:r>
            <w:r>
              <w:rPr>
                <w:rFonts w:hint="eastAsia" w:ascii="Times New Roman" w:hAnsi="Times New Roman" w:eastAsia="宋体"/>
                <w:sz w:val="28"/>
                <w:szCs w:val="28"/>
                <w:lang w:val="en-US" w:eastAsia="zh-CN"/>
              </w:rPr>
              <w:t>8.1.4</w:t>
            </w:r>
            <w:r>
              <w:rPr>
                <w:rFonts w:hint="eastAsia" w:ascii="Times New Roman" w:hAnsi="Times New Roman" w:eastAsia="宋体"/>
                <w:sz w:val="28"/>
                <w:szCs w:val="28"/>
              </w:rPr>
              <w:t>条款</w:t>
            </w:r>
            <w:r>
              <w:rPr>
                <w:rFonts w:ascii="Times New Roman" w:hAnsi="Times New Roman" w:eastAsia="宋体"/>
                <w:sz w:val="28"/>
                <w:szCs w:val="28"/>
              </w:rPr>
              <w:t>内容及其理解；</w:t>
            </w:r>
          </w:p>
          <w:p>
            <w:pPr>
              <w:spacing w:line="360" w:lineRule="auto"/>
              <w:rPr>
                <w:rFonts w:ascii="Times New Roman" w:hAnsi="Times New Roman" w:eastAsia="宋体"/>
                <w:sz w:val="28"/>
                <w:szCs w:val="28"/>
              </w:rPr>
            </w:pPr>
            <w:r>
              <w:rPr>
                <w:rFonts w:ascii="Times New Roman" w:hAnsi="Times New Roman" w:eastAsia="宋体"/>
                <w:sz w:val="28"/>
                <w:szCs w:val="28"/>
              </w:rPr>
              <w:t>2、本公司管理体系文件相关内容；</w:t>
            </w:r>
          </w:p>
          <w:p>
            <w:pPr>
              <w:numPr>
                <w:ilvl w:val="0"/>
                <w:numId w:val="0"/>
              </w:numPr>
              <w:rPr>
                <w:rFonts w:hint="eastAsia" w:ascii="Times New Roman" w:hAnsi="Times New Roman" w:eastAsia="宋体" w:cs="Times New Roman"/>
                <w:sz w:val="28"/>
                <w:szCs w:val="28"/>
                <w:lang w:eastAsia="zh-CN"/>
              </w:rPr>
            </w:pPr>
            <w:r>
              <w:rPr>
                <w:rFonts w:hint="eastAsia" w:ascii="Times New Roman" w:hAnsi="Times New Roman" w:eastAsia="宋体"/>
                <w:sz w:val="28"/>
                <w:szCs w:val="28"/>
                <w:lang w:val="en-US" w:eastAsia="zh-CN"/>
              </w:rPr>
              <w:t>3、</w:t>
            </w:r>
            <w:r>
              <w:rPr>
                <w:rFonts w:ascii="Times New Roman" w:hAnsi="Times New Roman" w:eastAsia="宋体"/>
                <w:sz w:val="28"/>
                <w:szCs w:val="28"/>
              </w:rPr>
              <w:t>纠正措施实施控制要求</w:t>
            </w:r>
            <w:r>
              <w:rPr>
                <w:rFonts w:hint="eastAsia" w:ascii="Times New Roman" w:hAnsi="Times New Roman" w:eastAsia="宋体"/>
                <w:sz w:val="28"/>
                <w:szCs w:val="28"/>
                <w:lang w:eastAsia="zh-CN"/>
              </w:rPr>
              <w:t>。</w:t>
            </w:r>
          </w:p>
          <w:p>
            <w:pP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考</w:t>
            </w:r>
          </w:p>
          <w:p>
            <w:pPr>
              <w:jc w:val="center"/>
              <w:rPr>
                <w:sz w:val="28"/>
                <w:szCs w:val="28"/>
              </w:rPr>
            </w:pPr>
            <w:r>
              <w:rPr>
                <w:rFonts w:hint="eastAsia"/>
                <w:sz w:val="28"/>
                <w:szCs w:val="28"/>
              </w:rPr>
              <w:t>核</w:t>
            </w:r>
          </w:p>
          <w:p>
            <w:pPr>
              <w:jc w:val="center"/>
              <w:rPr>
                <w:sz w:val="28"/>
                <w:szCs w:val="28"/>
              </w:rPr>
            </w:pPr>
            <w:r>
              <w:rPr>
                <w:rFonts w:hint="eastAsia"/>
                <w:sz w:val="28"/>
                <w:szCs w:val="28"/>
              </w:rPr>
              <w:t>评</w:t>
            </w:r>
          </w:p>
          <w:p>
            <w:pPr>
              <w:jc w:val="center"/>
              <w:rPr>
                <w:sz w:val="28"/>
                <w:szCs w:val="28"/>
              </w:rPr>
            </w:pPr>
            <w:r>
              <w:rPr>
                <w:rFonts w:hint="eastAsia"/>
                <w:sz w:val="28"/>
                <w:szCs w:val="28"/>
              </w:rPr>
              <w:t>价</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8"/>
                <w:szCs w:val="28"/>
              </w:rPr>
            </w:pPr>
          </w:p>
          <w:p>
            <w:pPr>
              <w:rPr>
                <w:sz w:val="28"/>
                <w:szCs w:val="28"/>
              </w:rPr>
            </w:pPr>
            <w:r>
              <w:rPr>
                <w:rFonts w:hint="eastAsia"/>
                <w:sz w:val="28"/>
                <w:szCs w:val="28"/>
              </w:rPr>
              <w:t>经过培训讲解，提问、交流等形式进行评价，培训效果良好，达到了预期目的。</w:t>
            </w:r>
          </w:p>
          <w:p>
            <w:pPr>
              <w:rPr>
                <w:sz w:val="30"/>
              </w:rPr>
            </w:pPr>
          </w:p>
          <w:p>
            <w:pPr>
              <w:rPr>
                <w:rFonts w:hint="eastAsia" w:eastAsia="宋体"/>
                <w:sz w:val="28"/>
                <w:szCs w:val="28"/>
                <w:lang w:val="en-US" w:eastAsia="zh-CN"/>
              </w:rPr>
            </w:pPr>
            <w:r>
              <w:rPr>
                <w:sz w:val="30"/>
              </w:rPr>
              <w:t xml:space="preserve">       </w:t>
            </w:r>
            <w:r>
              <w:rPr>
                <w:sz w:val="28"/>
                <w:szCs w:val="28"/>
              </w:rPr>
              <w:t xml:space="preserve">  </w:t>
            </w:r>
            <w:r>
              <w:rPr>
                <w:rFonts w:hint="eastAsia"/>
                <w:sz w:val="28"/>
                <w:szCs w:val="28"/>
                <w:lang w:val="en-US" w:eastAsia="zh-CN"/>
              </w:rPr>
              <w:t xml:space="preserve">             </w:t>
            </w:r>
            <w:r>
              <w:rPr>
                <w:rFonts w:hint="eastAsia"/>
                <w:sz w:val="28"/>
                <w:szCs w:val="28"/>
              </w:rPr>
              <w:t>评价人</w:t>
            </w:r>
            <w:r>
              <w:rPr>
                <w:rFonts w:hint="eastAsia"/>
                <w:sz w:val="28"/>
                <w:szCs w:val="28"/>
                <w:lang w:eastAsia="zh-CN"/>
              </w:rPr>
              <w:t>：</w:t>
            </w:r>
            <w:r>
              <w:rPr>
                <w:rFonts w:hint="eastAsia"/>
                <w:sz w:val="28"/>
                <w:szCs w:val="28"/>
                <w:lang w:val="en-US" w:eastAsia="zh-CN"/>
              </w:rPr>
              <w:t>张鑫</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w:t>
            </w:r>
            <w:r>
              <w:rPr>
                <w:rFonts w:hint="eastAsia"/>
                <w:sz w:val="28"/>
                <w:szCs w:val="28"/>
                <w:lang w:val="en-US" w:eastAsia="zh-CN"/>
              </w:rPr>
              <w:t>21</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10</w:t>
            </w:r>
            <w:r>
              <w:rPr>
                <w:rFonts w:hint="eastAsia"/>
                <w:sz w:val="28"/>
                <w:szCs w:val="28"/>
              </w:rPr>
              <w:t>日</w:t>
            </w:r>
          </w:p>
          <w:p>
            <w:pPr>
              <w:rPr>
                <w:rFonts w:hint="eastAsia"/>
                <w:sz w:val="28"/>
                <w:szCs w:val="28"/>
              </w:rPr>
            </w:pPr>
          </w:p>
        </w:tc>
      </w:tr>
    </w:tbl>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eastAsia"/>
                <w:szCs w:val="21"/>
                <w:lang w:val="en-US" w:eastAsia="zh-CN"/>
              </w:rPr>
              <w:t>天津市蓟州区侯健货物运输中心</w:t>
            </w:r>
          </w:p>
        </w:tc>
        <w:tc>
          <w:tcPr>
            <w:tcW w:w="1440" w:type="dxa"/>
            <w:noWrap w:val="0"/>
            <w:vAlign w:val="top"/>
          </w:tcPr>
          <w:p>
            <w:pPr>
              <w:spacing w:line="360" w:lineRule="auto"/>
              <w:jc w:val="center"/>
              <w:rPr>
                <w:rFonts w:hint="eastAsia"/>
                <w:sz w:val="24"/>
              </w:rPr>
            </w:pPr>
            <w:r>
              <w:rPr>
                <w:rFonts w:hint="eastAsia"/>
                <w:sz w:val="24"/>
              </w:rPr>
              <w:t>联系人</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 xml:space="preserve">侯健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地址/邮编</w:t>
            </w:r>
          </w:p>
        </w:tc>
        <w:tc>
          <w:tcPr>
            <w:tcW w:w="3960" w:type="dxa"/>
            <w:gridSpan w:val="2"/>
            <w:noWrap w:val="0"/>
            <w:vAlign w:val="top"/>
          </w:tcPr>
          <w:p>
            <w:pPr>
              <w:spacing w:line="360" w:lineRule="auto"/>
              <w:jc w:val="center"/>
              <w:rPr>
                <w:rFonts w:hint="default" w:eastAsia="宋体"/>
                <w:sz w:val="24"/>
                <w:lang w:val="en-US" w:eastAsia="zh-CN"/>
              </w:rPr>
            </w:pPr>
            <w:r>
              <w:rPr>
                <w:rFonts w:hint="default" w:ascii="Times New Roman" w:hAnsi="Times New Roman" w:cs="Times New Roman"/>
                <w:szCs w:val="21"/>
                <w:lang w:val="en-US" w:eastAsia="zh-CN"/>
              </w:rPr>
              <w:t>天津市别山镇西史各庄村3区5排13号</w:t>
            </w:r>
          </w:p>
        </w:tc>
        <w:tc>
          <w:tcPr>
            <w:tcW w:w="1440" w:type="dxa"/>
            <w:noWrap w:val="0"/>
            <w:vAlign w:val="center"/>
          </w:tcPr>
          <w:p>
            <w:pPr>
              <w:spacing w:line="360" w:lineRule="auto"/>
              <w:jc w:val="center"/>
              <w:rPr>
                <w:rFonts w:hint="eastAsia"/>
                <w:sz w:val="24"/>
              </w:rPr>
            </w:pPr>
            <w:r>
              <w:rPr>
                <w:rFonts w:hint="eastAsia"/>
                <w:sz w:val="24"/>
              </w:rPr>
              <w:t>电话</w:t>
            </w:r>
          </w:p>
        </w:tc>
        <w:tc>
          <w:tcPr>
            <w:tcW w:w="2340" w:type="dxa"/>
            <w:noWrap w:val="0"/>
            <w:vAlign w:val="center"/>
          </w:tcPr>
          <w:p>
            <w:pPr>
              <w:spacing w:line="360" w:lineRule="auto"/>
              <w:jc w:val="center"/>
              <w:rPr>
                <w:rFonts w:hint="default" w:eastAsia="宋体"/>
                <w:sz w:val="24"/>
                <w:lang w:val="en-US" w:eastAsia="zh-CN"/>
              </w:rPr>
            </w:pPr>
            <w:r>
              <w:rPr>
                <w:rFonts w:hint="eastAsia"/>
                <w:sz w:val="24"/>
                <w:lang w:val="en-US" w:eastAsia="zh-CN"/>
              </w:rPr>
              <w:t>18833355573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4"/>
            <w:noWrap w:val="0"/>
            <w:vAlign w:val="top"/>
          </w:tcPr>
          <w:p>
            <w:pPr>
              <w:spacing w:line="360" w:lineRule="auto"/>
              <w:jc w:val="center"/>
              <w:rPr>
                <w:rFonts w:hint="default" w:eastAsia="宋体"/>
                <w:sz w:val="24"/>
                <w:lang w:val="en-US" w:eastAsia="zh-CN"/>
              </w:rPr>
            </w:pPr>
            <w:r>
              <w:rPr>
                <w:rFonts w:hint="eastAsia"/>
                <w:szCs w:val="21"/>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4"/>
              </w:rPr>
            </w:pPr>
            <w:r>
              <w:rPr>
                <w:rFonts w:hint="eastAsia"/>
                <w:sz w:val="24"/>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3"/>
            <w:noWrap w:val="0"/>
            <w:vAlign w:val="center"/>
          </w:tcPr>
          <w:p>
            <w:pPr>
              <w:spacing w:line="360" w:lineRule="auto"/>
              <w:rPr>
                <w:rFonts w:hint="eastAsia"/>
                <w:sz w:val="24"/>
              </w:rPr>
            </w:pPr>
            <w:r>
              <w:rPr>
                <w:rFonts w:hint="eastAsia" w:ascii="宋体" w:hAnsi="宋体" w:cs="宋体"/>
                <w:sz w:val="24"/>
              </w:rPr>
              <w:t>■</w:t>
            </w:r>
            <w:r>
              <w:rPr>
                <w:rFonts w:hint="eastAsia"/>
                <w:sz w:val="24"/>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生产能力和供应能力情况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能及时供应所需</w:t>
            </w:r>
            <w:r>
              <w:rPr>
                <w:rFonts w:hint="eastAsia"/>
                <w:sz w:val="24"/>
                <w:lang w:val="en-US" w:eastAsia="zh-CN"/>
              </w:rPr>
              <w:t>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4"/>
              </w:rPr>
            </w:pPr>
            <w:r>
              <w:rPr>
                <w:rFonts w:hint="eastAsia"/>
                <w:sz w:val="24"/>
              </w:rPr>
              <w:t>质量及以往 使用情况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与该公司合作多年，未发生</w:t>
            </w:r>
            <w:r>
              <w:rPr>
                <w:rFonts w:hint="eastAsia"/>
                <w:sz w:val="24"/>
                <w:lang w:val="en-US" w:eastAsia="zh-CN"/>
              </w:rPr>
              <w:t>货物损失情况</w:t>
            </w:r>
            <w:r>
              <w:rPr>
                <w:rFonts w:hint="eastAsia"/>
                <w:sz w:val="24"/>
              </w:rPr>
              <w:t>，</w:t>
            </w:r>
            <w:r>
              <w:rPr>
                <w:rFonts w:hint="eastAsia"/>
                <w:sz w:val="24"/>
                <w:lang w:val="en-US" w:eastAsia="zh-CN"/>
              </w:rPr>
              <w:t>且快速准时，</w:t>
            </w:r>
            <w:r>
              <w:rPr>
                <w:rFonts w:hint="eastAsia"/>
                <w:sz w:val="24"/>
              </w:rPr>
              <w:t>符合我公司要求。</w:t>
            </w:r>
          </w:p>
          <w:p>
            <w:pPr>
              <w:spacing w:line="360" w:lineRule="auto"/>
              <w:jc w:val="left"/>
              <w:rPr>
                <w:rFonts w:hint="eastAsia"/>
                <w:sz w:val="24"/>
              </w:rPr>
            </w:pPr>
            <w:r>
              <w:rPr>
                <w:rFonts w:hint="eastAsia"/>
                <w:sz w:val="24"/>
              </w:rPr>
              <w:t>主管部门负责人：</w:t>
            </w:r>
            <w:r>
              <w:rPr>
                <w:rFonts w:hint="eastAsia"/>
                <w:sz w:val="24"/>
                <w:lang w:val="en-US" w:eastAsia="zh-CN"/>
              </w:rPr>
              <w:t>杨春艳</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服务</w:t>
            </w:r>
            <w:r>
              <w:rPr>
                <w:rFonts w:hint="eastAsia"/>
                <w:sz w:val="24"/>
              </w:rPr>
              <w:t>价格合理，质量可靠，</w:t>
            </w:r>
            <w:r>
              <w:rPr>
                <w:rFonts w:hint="eastAsia"/>
                <w:sz w:val="24"/>
                <w:lang w:val="en-US" w:eastAsia="zh-CN"/>
              </w:rPr>
              <w:t>运输</w:t>
            </w:r>
            <w:r>
              <w:rPr>
                <w:rFonts w:hint="eastAsia"/>
                <w:sz w:val="24"/>
              </w:rPr>
              <w:t>及时，同意列为我公司的合格供方。</w:t>
            </w:r>
          </w:p>
          <w:p>
            <w:pPr>
              <w:spacing w:line="360" w:lineRule="auto"/>
              <w:jc w:val="left"/>
              <w:rPr>
                <w:rFonts w:hint="default" w:eastAsia="宋体"/>
                <w:sz w:val="24"/>
                <w:lang w:val="en-US" w:eastAsia="zh-CN"/>
              </w:rPr>
            </w:pPr>
            <w:r>
              <w:rPr>
                <w:rFonts w:hint="eastAsia"/>
                <w:sz w:val="24"/>
              </w:rPr>
              <w:t xml:space="preserve">参加评审人（签字）： </w:t>
            </w:r>
            <w:r>
              <w:rPr>
                <w:rFonts w:hint="eastAsia" w:ascii="Times New Roman" w:hAnsi="Times New Roman" w:cs="Times New Roman"/>
                <w:sz w:val="24"/>
                <w:lang w:val="en-US" w:eastAsia="zh-CN"/>
              </w:rPr>
              <w:t>崔永彬、张鑫、韩立超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ascii="楷体" w:hAnsi="楷体" w:eastAsia="楷体"/>
                <w:szCs w:val="21"/>
              </w:rPr>
              <w:t>侯占秋</w:t>
            </w:r>
            <w:r>
              <w:rPr>
                <w:rFonts w:hint="eastAsia"/>
                <w:sz w:val="24"/>
              </w:rPr>
              <w:t xml:space="preserve">   日期：2</w:t>
            </w:r>
            <w:r>
              <w:rPr>
                <w:sz w:val="24"/>
              </w:rPr>
              <w:t>0</w:t>
            </w:r>
            <w:r>
              <w:rPr>
                <w:rFonts w:hint="eastAsia"/>
                <w:sz w:val="24"/>
                <w:lang w:val="en-US" w:eastAsia="zh-CN"/>
              </w:rPr>
              <w:t>21.2.10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4"/>
                <w:lang w:val="en-US" w:eastAsia="zh-CN"/>
              </w:rPr>
            </w:pPr>
            <w:r>
              <w:rPr>
                <w:rFonts w:hint="eastAsia"/>
                <w:sz w:val="24"/>
                <w:lang w:val="en-US" w:eastAsia="zh-CN"/>
              </w:rPr>
              <w:t>备注：</w:t>
            </w:r>
          </w:p>
        </w:tc>
      </w:tr>
    </w:tbl>
    <w:p>
      <w:pPr>
        <w:spacing w:line="360" w:lineRule="auto"/>
        <w:jc w:val="cente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b/>
          <w:bCs/>
          <w:szCs w:val="21"/>
          <w:lang w:val="en-US" w:eastAsia="zh-CN"/>
        </w:rPr>
        <w:t>天津市蓟州区侯健货物运输中心</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sz w:val="21"/>
          <w:szCs w:val="21"/>
        </w:rPr>
        <w:t>预拌商品混凝土的生产</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GB/T19001-2016、GB/T24001-2016、GB/T45001-2020标准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32"/>
        </w:rPr>
        <w:t>本公司的管理体系方针：</w:t>
      </w:r>
    </w:p>
    <w:p>
      <w:pPr>
        <w:ind w:firstLine="422" w:firstLineChars="200"/>
        <w:rPr>
          <w:rFonts w:hint="eastAsia" w:cs="宋体"/>
          <w:b/>
          <w:bCs/>
          <w:szCs w:val="22"/>
        </w:rPr>
      </w:pPr>
      <w:r>
        <w:rPr>
          <w:rFonts w:hint="eastAsia" w:cs="宋体"/>
          <w:b/>
          <w:bCs/>
          <w:szCs w:val="22"/>
        </w:rPr>
        <w:t>用户第一、安全第一、信誉第一、环保第一、持续改进、挑战未来。</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bookmarkStart w:id="5" w:name="_GoBack"/>
      <w:bookmarkEnd w:id="5"/>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唐山顺华混凝土有限公司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2</w:t>
      </w:r>
      <w:r>
        <w:rPr>
          <w:rFonts w:hint="eastAsia"/>
          <w:color w:val="auto"/>
          <w:w w:val="90"/>
          <w:sz w:val="24"/>
          <w:szCs w:val="28"/>
        </w:rPr>
        <w:t>月</w:t>
      </w:r>
      <w:r>
        <w:rPr>
          <w:rFonts w:hint="eastAsia"/>
          <w:color w:val="auto"/>
          <w:w w:val="90"/>
          <w:sz w:val="24"/>
          <w:szCs w:val="28"/>
          <w:lang w:val="en-US" w:eastAsia="zh-CN"/>
        </w:rPr>
        <w:t>10</w:t>
      </w:r>
      <w:r>
        <w:rPr>
          <w:rFonts w:hint="eastAsia"/>
          <w:color w:val="auto"/>
          <w:w w:val="90"/>
          <w:sz w:val="24"/>
          <w:szCs w:val="28"/>
        </w:rPr>
        <w:t>日</w:t>
      </w:r>
    </w:p>
    <w:p>
      <w:pPr>
        <w:jc w:val="center"/>
        <w:rPr>
          <w:rFonts w:hint="eastAsia" w:asciiTheme="majorEastAsia" w:hAnsiTheme="majorEastAsia" w:eastAsiaTheme="majorEastAsia" w:cstheme="majorEastAsia"/>
          <w:sz w:val="30"/>
          <w:szCs w:val="30"/>
        </w:rPr>
      </w:pPr>
    </w:p>
    <w:p>
      <w:pPr>
        <w:rPr>
          <w:rFonts w:hint="eastAsia" w:eastAsia="黑体"/>
          <w:b/>
          <w:lang w:eastAsia="zh-CN"/>
        </w:rPr>
      </w:pPr>
    </w:p>
    <w:p>
      <w:pPr>
        <w:rPr>
          <w:rFonts w:hint="eastAsia" w:eastAsia="黑体"/>
          <w:b/>
          <w:lang w:eastAsia="zh-CN"/>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 id="V:Rule2" type="connector" idref="#_x0000_s307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75821F8"/>
    <w:rsid w:val="70A05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2</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2021-02-18T08:14:03Z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