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0099-2021-QEO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唐山顺华混凝土有限公司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rFonts w:hint="eastAsia" w:eastAsia="宋体"/>
                <w:sz w:val="18"/>
                <w:szCs w:val="18"/>
                <w:lang w:val="en-US" w:eastAsia="zh-CN"/>
              </w:rPr>
            </w:pPr>
            <w:r>
              <w:rPr>
                <w:sz w:val="18"/>
                <w:szCs w:val="18"/>
              </w:rPr>
              <w:t>组</w:t>
            </w:r>
            <w:r>
              <w:rPr>
                <w:rFonts w:hint="eastAsia"/>
                <w:sz w:val="18"/>
                <w:szCs w:val="18"/>
                <w:lang w:val="en-US" w:eastAsia="zh-CN"/>
              </w:rPr>
              <w:t>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16.02.03</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16.02.03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76"/>
        <w:gridCol w:w="854"/>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唐山顺华混凝土有限公司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188" w:type="dxa"/>
            <w:gridSpan w:val="3"/>
            <w:vAlign w:val="center"/>
          </w:tcPr>
          <w:p>
            <w:pPr>
              <w:spacing w:line="280" w:lineRule="exact"/>
              <w:jc w:val="both"/>
              <w:rPr>
                <w:rFonts w:ascii="宋体"/>
                <w:b w:val="0"/>
                <w:bCs/>
                <w:color w:val="000000"/>
                <w:sz w:val="20"/>
                <w:szCs w:val="20"/>
              </w:rPr>
            </w:pPr>
            <w:bookmarkStart w:id="8" w:name="注册地址"/>
            <w:r>
              <w:rPr>
                <w:b w:val="0"/>
                <w:bCs/>
              </w:rPr>
              <w:t>唐山开平区栗园镇双庙村南</w:t>
            </w:r>
            <w:bookmarkEnd w:id="8"/>
          </w:p>
        </w:tc>
        <w:tc>
          <w:tcPr>
            <w:tcW w:w="854" w:type="dxa"/>
            <w:vMerge w:val="restart"/>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邮编</w:t>
            </w:r>
          </w:p>
        </w:tc>
        <w:tc>
          <w:tcPr>
            <w:tcW w:w="2450"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188" w:type="dxa"/>
            <w:gridSpan w:val="3"/>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唐山开平区栗园镇双庙村南</w:t>
            </w:r>
          </w:p>
        </w:tc>
        <w:tc>
          <w:tcPr>
            <w:tcW w:w="854" w:type="dxa"/>
            <w:vMerge w:val="continue"/>
            <w:vAlign w:val="center"/>
          </w:tcPr>
          <w:p>
            <w:pPr>
              <w:spacing w:line="280" w:lineRule="exact"/>
              <w:jc w:val="center"/>
              <w:rPr>
                <w:rFonts w:ascii="宋体"/>
                <w:b/>
                <w:bCs w:val="0"/>
                <w:color w:val="000000"/>
                <w:sz w:val="20"/>
                <w:szCs w:val="20"/>
              </w:rPr>
            </w:pPr>
          </w:p>
        </w:tc>
        <w:tc>
          <w:tcPr>
            <w:tcW w:w="2450"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val="0"/>
                <w:bCs/>
                <w:color w:val="000000"/>
                <w:sz w:val="20"/>
                <w:szCs w:val="20"/>
              </w:rPr>
            </w:pPr>
            <w:bookmarkStart w:id="9" w:name="联系人"/>
            <w:r>
              <w:rPr>
                <w:b w:val="0"/>
                <w:bCs/>
                <w:sz w:val="21"/>
                <w:szCs w:val="21"/>
              </w:rPr>
              <w:t>侯占秋</w:t>
            </w:r>
            <w:bookmarkEnd w:id="9"/>
          </w:p>
        </w:tc>
        <w:tc>
          <w:tcPr>
            <w:tcW w:w="1463"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电话</w:t>
            </w:r>
          </w:p>
        </w:tc>
        <w:tc>
          <w:tcPr>
            <w:tcW w:w="1676" w:type="dxa"/>
            <w:vAlign w:val="center"/>
          </w:tcPr>
          <w:p>
            <w:pPr>
              <w:spacing w:line="280" w:lineRule="exact"/>
              <w:jc w:val="both"/>
              <w:rPr>
                <w:rFonts w:ascii="宋体"/>
                <w:b w:val="0"/>
                <w:bCs/>
                <w:color w:val="000000"/>
                <w:sz w:val="20"/>
                <w:szCs w:val="20"/>
              </w:rPr>
            </w:pPr>
            <w:bookmarkStart w:id="10" w:name="联系人电话"/>
            <w:r>
              <w:rPr>
                <w:b w:val="0"/>
                <w:bCs/>
                <w:sz w:val="21"/>
                <w:szCs w:val="21"/>
              </w:rPr>
              <w:t>15032424243</w:t>
            </w:r>
            <w:bookmarkEnd w:id="10"/>
          </w:p>
        </w:tc>
        <w:tc>
          <w:tcPr>
            <w:tcW w:w="854"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传真</w:t>
            </w:r>
          </w:p>
        </w:tc>
        <w:tc>
          <w:tcPr>
            <w:tcW w:w="2450" w:type="dxa"/>
            <w:vAlign w:val="center"/>
          </w:tcPr>
          <w:p>
            <w:pPr>
              <w:spacing w:line="280" w:lineRule="exact"/>
              <w:jc w:val="both"/>
              <w:rPr>
                <w:rFonts w:ascii="宋体"/>
                <w:b w:val="0"/>
                <w:bCs/>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val="0"/>
                <w:bCs/>
                <w:color w:val="000000"/>
                <w:sz w:val="20"/>
                <w:szCs w:val="20"/>
              </w:rPr>
            </w:pPr>
            <w:bookmarkStart w:id="12" w:name="法人"/>
            <w:r>
              <w:rPr>
                <w:rFonts w:hint="eastAsia"/>
                <w:b w:val="0"/>
                <w:bCs/>
                <w:color w:val="000000" w:themeColor="text1"/>
                <w:sz w:val="22"/>
                <w:szCs w:val="22"/>
              </w:rPr>
              <w:t>张顺华</w:t>
            </w:r>
            <w:bookmarkEnd w:id="12"/>
          </w:p>
        </w:tc>
        <w:tc>
          <w:tcPr>
            <w:tcW w:w="1463" w:type="dxa"/>
            <w:vAlign w:val="center"/>
          </w:tcPr>
          <w:p>
            <w:pPr>
              <w:jc w:val="center"/>
              <w:rPr>
                <w:rFonts w:ascii="宋体"/>
                <w:b/>
                <w:bCs w:val="0"/>
                <w:color w:val="000000"/>
                <w:sz w:val="20"/>
                <w:szCs w:val="20"/>
              </w:rPr>
            </w:pPr>
            <w:r>
              <w:rPr>
                <w:rFonts w:hint="eastAsia" w:ascii="宋体" w:hAnsi="宋体"/>
                <w:b/>
                <w:bCs w:val="0"/>
                <w:color w:val="000000"/>
                <w:sz w:val="20"/>
                <w:szCs w:val="20"/>
              </w:rPr>
              <w:t>管理者代表</w:t>
            </w:r>
          </w:p>
        </w:tc>
        <w:tc>
          <w:tcPr>
            <w:tcW w:w="1676" w:type="dxa"/>
            <w:vAlign w:val="center"/>
          </w:tcPr>
          <w:p>
            <w:pPr>
              <w:jc w:val="both"/>
              <w:rPr>
                <w:rFonts w:hint="eastAsia" w:ascii="宋体" w:eastAsia="宋体"/>
                <w:b w:val="0"/>
                <w:bCs/>
                <w:color w:val="000000"/>
                <w:sz w:val="20"/>
                <w:szCs w:val="20"/>
                <w:lang w:eastAsia="zh-CN"/>
              </w:rPr>
            </w:pPr>
            <w:r>
              <w:rPr>
                <w:rFonts w:hint="eastAsia" w:ascii="宋体"/>
                <w:b w:val="0"/>
                <w:bCs/>
                <w:color w:val="000000"/>
                <w:sz w:val="20"/>
                <w:szCs w:val="20"/>
                <w:lang w:val="en-US" w:eastAsia="zh-CN"/>
              </w:rPr>
              <w:t>张鑫</w:t>
            </w:r>
          </w:p>
        </w:tc>
        <w:tc>
          <w:tcPr>
            <w:tcW w:w="854" w:type="dxa"/>
            <w:vAlign w:val="center"/>
          </w:tcPr>
          <w:p>
            <w:pPr>
              <w:jc w:val="center"/>
              <w:rPr>
                <w:rFonts w:ascii="宋体"/>
                <w:b/>
                <w:bCs w:val="0"/>
                <w:color w:val="000000"/>
                <w:sz w:val="20"/>
                <w:szCs w:val="20"/>
              </w:rPr>
            </w:pPr>
            <w:r>
              <w:rPr>
                <w:rFonts w:hint="eastAsia" w:ascii="宋体"/>
                <w:b/>
                <w:bCs w:val="0"/>
                <w:color w:val="000000"/>
                <w:sz w:val="20"/>
                <w:szCs w:val="20"/>
              </w:rPr>
              <w:t>邮箱</w:t>
            </w:r>
          </w:p>
        </w:tc>
        <w:tc>
          <w:tcPr>
            <w:tcW w:w="2450" w:type="dxa"/>
            <w:vAlign w:val="center"/>
          </w:tcPr>
          <w:p>
            <w:pPr>
              <w:jc w:val="both"/>
              <w:rPr>
                <w:rFonts w:ascii="宋体"/>
                <w:b w:val="0"/>
                <w:bCs/>
                <w:color w:val="000000"/>
                <w:sz w:val="20"/>
                <w:szCs w:val="20"/>
              </w:rPr>
            </w:pPr>
            <w:bookmarkStart w:id="13" w:name="联系人邮箱"/>
            <w:r>
              <w:rPr>
                <w:b w:val="0"/>
                <w:bCs/>
                <w:sz w:val="21"/>
                <w:szCs w:val="21"/>
              </w:rPr>
              <w:t>13673163611@163.com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14" w:name="审核范围"/>
            <w:r>
              <w:rPr>
                <w:rFonts w:ascii="宋体" w:hAnsi="宋体"/>
                <w:b/>
                <w:color w:val="000000"/>
                <w:sz w:val="20"/>
                <w:szCs w:val="20"/>
              </w:rPr>
              <w:t>Q：</w:t>
            </w:r>
            <w:r>
              <w:rPr>
                <w:rFonts w:hint="eastAsia" w:ascii="宋体" w:hAnsi="宋体"/>
                <w:b/>
                <w:color w:val="000000"/>
                <w:sz w:val="20"/>
                <w:szCs w:val="20"/>
                <w:lang w:eastAsia="zh-CN"/>
              </w:rPr>
              <w:t>资质范围内的预拌商品混凝土的生产</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资质范围内的预拌商品混凝土的生产</w:t>
            </w:r>
            <w:r>
              <w:rPr>
                <w:rFonts w:ascii="宋体" w:hAnsi="宋体"/>
                <w:b/>
                <w:color w:val="000000"/>
                <w:sz w:val="20"/>
                <w:szCs w:val="20"/>
              </w:rPr>
              <w:t>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资质范围内的预拌商品混凝土的生产</w:t>
            </w:r>
            <w:r>
              <w:rPr>
                <w:rFonts w:ascii="宋体" w:hAnsi="宋体"/>
                <w:b/>
                <w:color w:val="000000"/>
                <w:sz w:val="20"/>
                <w:szCs w:val="20"/>
              </w:rPr>
              <w:t>所涉及场所相关的职业健康安全管理活动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5" w:name="专业代码"/>
            <w:r>
              <w:rPr>
                <w:rFonts w:ascii="宋体"/>
                <w:b/>
                <w:color w:val="000000"/>
                <w:sz w:val="20"/>
                <w:szCs w:val="20"/>
              </w:rPr>
              <w:t>Q：</w:t>
            </w:r>
            <w:r>
              <w:rPr>
                <w:rFonts w:hint="eastAsia" w:ascii="宋体"/>
                <w:b/>
                <w:color w:val="000000"/>
                <w:sz w:val="20"/>
                <w:szCs w:val="20"/>
                <w:lang w:eastAsia="zh-CN"/>
              </w:rPr>
              <w:t>16.02.03</w:t>
            </w:r>
          </w:p>
          <w:p>
            <w:pPr>
              <w:spacing w:line="280" w:lineRule="exact"/>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16.02.03</w:t>
            </w:r>
          </w:p>
          <w:p>
            <w:pPr>
              <w:spacing w:line="280" w:lineRule="exact"/>
              <w:rPr>
                <w:rFonts w:hint="eastAsia" w:ascii="宋体" w:eastAsia="宋体"/>
                <w:b/>
                <w:color w:val="000000"/>
                <w:sz w:val="20"/>
                <w:szCs w:val="20"/>
                <w:lang w:eastAsia="zh-CN"/>
              </w:rPr>
            </w:pPr>
            <w:r>
              <w:rPr>
                <w:rFonts w:ascii="宋体"/>
                <w:b/>
                <w:color w:val="000000"/>
                <w:sz w:val="20"/>
                <w:szCs w:val="20"/>
              </w:rPr>
              <w:t>O：</w:t>
            </w:r>
            <w:bookmarkEnd w:id="15"/>
            <w:r>
              <w:rPr>
                <w:rFonts w:hint="eastAsia" w:ascii="宋体"/>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lang w:val="en-US" w:eastAsia="zh-CN"/>
              </w:rPr>
              <w:t>无</w:t>
            </w: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97" w:firstLineChars="148"/>
        <w:rPr>
          <w:rFonts w:hint="eastAsia" w:ascii="宋体" w:eastAsia="宋体"/>
          <w:b/>
          <w:color w:val="000000"/>
          <w:sz w:val="20"/>
          <w:szCs w:val="20"/>
          <w:lang w:eastAsia="zh-CN"/>
        </w:rPr>
      </w:pPr>
      <w:r>
        <w:rPr>
          <w:rFonts w:hint="eastAsia" w:ascii="宋体" w:hAnsi="宋体"/>
          <w:b/>
          <w:color w:val="000000"/>
          <w:sz w:val="20"/>
          <w:szCs w:val="20"/>
          <w:lang w:val="de-DE"/>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管理层、综合办、生产部、实验室</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办公区、车间、实验室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jc w:val="both"/>
              <w:rPr>
                <w:rFonts w:hint="eastAsia" w:ascii="宋体" w:eastAsia="宋体"/>
                <w:b/>
                <w:color w:val="000000"/>
                <w:sz w:val="20"/>
                <w:szCs w:val="20"/>
                <w:lang w:eastAsia="zh-CN"/>
              </w:rPr>
            </w:pPr>
            <w:r>
              <w:rPr>
                <w:rFonts w:hint="eastAsia" w:ascii="宋体" w:hAnsi="宋体"/>
                <w:color w:val="000000"/>
                <w:sz w:val="20"/>
                <w:szCs w:val="20"/>
                <w:lang w:eastAsia="zh-CN"/>
              </w:rPr>
              <w:t>资质范围内的预拌商品混凝土的生产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综合办、</w:t>
            </w:r>
            <w:r>
              <w:rPr>
                <w:rFonts w:hint="eastAsia" w:ascii="宋体" w:hAnsi="宋体" w:cs="Times New Roman"/>
                <w:b/>
                <w:color w:val="000000"/>
                <w:sz w:val="20"/>
                <w:szCs w:val="20"/>
                <w:lang w:eastAsia="zh-CN"/>
              </w:rPr>
              <w:t>生产部、调度室、供销部、实验室、财务</w:t>
            </w:r>
            <w:r>
              <w:rPr>
                <w:rFonts w:hint="eastAsia" w:ascii="宋体" w:hAnsi="宋体" w:cs="Times New Roman"/>
                <w:b/>
                <w:color w:val="000000"/>
                <w:sz w:val="20"/>
                <w:szCs w:val="20"/>
                <w:lang w:val="en-US" w:eastAsia="zh-CN"/>
              </w:rPr>
              <w:t>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实验室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唐山开平区栗园镇双庙村南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唐山开平区栗园镇双庙村南</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pacing w:val="-10"/>
                <w:sz w:val="20"/>
                <w:szCs w:val="20"/>
                <w:lang w:eastAsia="zh-CN"/>
              </w:rPr>
              <w:t>☑</w:t>
            </w:r>
            <w:r>
              <w:rPr>
                <w:rFonts w:hint="eastAsia" w:ascii="宋体" w:hAnsi="宋体"/>
                <w:color w:val="000000"/>
                <w:sz w:val="20"/>
                <w:szCs w:val="20"/>
              </w:rPr>
              <w:t>无</w:t>
            </w:r>
          </w:p>
          <w:p>
            <w:pPr>
              <w:tabs>
                <w:tab w:val="left" w:pos="360"/>
              </w:tabs>
              <w:ind w:left="357" w:hanging="357"/>
              <w:rPr>
                <w:rFonts w:hint="eastAsia" w:ascii="宋体" w:eastAsia="宋体"/>
                <w:b/>
                <w:color w:val="000000"/>
                <w:sz w:val="24"/>
                <w:lang w:eastAsia="zh-CN"/>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r>
              <w:rPr>
                <w:rFonts w:hint="eastAsia" w:ascii="楷体" w:hAnsi="楷体" w:eastAsia="楷体"/>
                <w:color w:val="000000"/>
                <w:szCs w:val="21"/>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bookmarkStart w:id="16" w:name="_GoBack"/>
            <w:r>
              <w:rPr>
                <w:rFonts w:hint="default" w:ascii="Times New Roman" w:hAnsi="Times New Roman" w:eastAsia="宋体" w:cs="Times New Roman"/>
                <w:sz w:val="21"/>
                <w:szCs w:val="21"/>
              </w:rPr>
              <w:t>GB/T10171-2016 《混凝土搅拌站（楼）分类》GB/T10172《混凝土搅拌站（楼）技术条件》GB/T14902-2019《预拌混凝土》</w:t>
            </w:r>
            <w:bookmarkEnd w:id="16"/>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提供有固定污染源登记表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GB13271—2014、DB13/2167—2015、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楷体" w:hAnsi="楷体" w:eastAsia="楷体"/>
              </w:rPr>
              <w:t>原材料检验、储备----根据配合比配料----电脑控制自动计量----自动控制投料----强制搅拌机搅拌----出料、检验合格混凝土出厂----混凝土搅拌运输（外包）----混凝土泵车泵送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配料、</w:t>
            </w:r>
            <w:r>
              <w:rPr>
                <w:rFonts w:hint="eastAsia" w:ascii="宋体" w:hAnsi="宋体"/>
                <w:color w:val="000000"/>
                <w:sz w:val="20"/>
                <w:szCs w:val="20"/>
                <w:lang w:val="en-US" w:eastAsia="zh-CN"/>
              </w:rPr>
              <w:t>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作业指导书、操作规程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eastAsia="zh-CN"/>
              </w:rPr>
              <w:t>配料、</w:t>
            </w:r>
            <w:r>
              <w:rPr>
                <w:rFonts w:hint="eastAsia" w:ascii="宋体" w:hAnsi="宋体"/>
                <w:color w:val="000000"/>
                <w:sz w:val="20"/>
                <w:szCs w:val="20"/>
                <w:lang w:val="en-US" w:eastAsia="zh-CN"/>
              </w:rPr>
              <w:t>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主要设备：装载机、240混凝土生产线、砂石分离机、泵车等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设备是否满足要求</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rPr>
              <w:t>特种设备：</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特种设备是否按规定检定</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监视和测量设备（请简述主要监视和测量设备）：含气量测定仪、水泥标准养护箱、水泥胶砂流动度测定仪、水泥标准稠度及凝结时间测定仪、水泥胶砂振实台、沸煮箱、低温试验箱、水泥细度负压筛析仪、压碎值测定仪、干燥箱、电子天平、电子磅秤、混凝土贯入阻力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占地</w:t>
            </w:r>
            <w:r>
              <w:rPr>
                <w:rFonts w:hint="eastAsia" w:ascii="宋体"/>
                <w:color w:val="000000"/>
                <w:sz w:val="20"/>
                <w:szCs w:val="20"/>
              </w:rPr>
              <w:t>面积</w:t>
            </w:r>
            <w:r>
              <w:rPr>
                <w:rFonts w:hint="eastAsia" w:ascii="宋体"/>
                <w:color w:val="000000"/>
                <w:sz w:val="20"/>
                <w:szCs w:val="20"/>
                <w:lang w:val="en-US" w:eastAsia="zh-CN"/>
              </w:rPr>
              <w:t>1</w:t>
            </w:r>
            <w:r>
              <w:rPr>
                <w:rFonts w:hint="eastAsia" w:ascii="宋体"/>
                <w:color w:val="000000"/>
                <w:sz w:val="20"/>
                <w:szCs w:val="20"/>
              </w:rPr>
              <w:t>50</w:t>
            </w:r>
            <w:r>
              <w:rPr>
                <w:rFonts w:hint="eastAsia" w:ascii="宋体"/>
                <w:color w:val="000000"/>
                <w:sz w:val="20"/>
                <w:szCs w:val="20"/>
                <w:lang w:val="en-US" w:eastAsia="zh-CN"/>
              </w:rPr>
              <w:t>00</w:t>
            </w:r>
            <w:r>
              <w:rPr>
                <w:rFonts w:hint="eastAsia" w:ascii="宋体"/>
                <w:color w:val="000000"/>
                <w:sz w:val="20"/>
                <w:szCs w:val="20"/>
              </w:rPr>
              <w:t>平米；</w:t>
            </w:r>
            <w:r>
              <w:rPr>
                <w:rFonts w:hint="eastAsia" w:ascii="宋体" w:hAnsi="Times New Roman" w:cs="Times New Roman"/>
                <w:color w:val="000000"/>
                <w:sz w:val="20"/>
                <w:szCs w:val="20"/>
                <w:lang w:val="en-US" w:eastAsia="zh-CN"/>
              </w:rPr>
              <w:t>搅拌站、料场、实验室、办公室等基础设施，布局合理，场所卫生干净整洁，工作环境良好。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潜在火灾</w:t>
            </w:r>
            <w:r>
              <w:rPr>
                <w:rFonts w:hint="eastAsia" w:ascii="宋体"/>
                <w:color w:val="000000"/>
                <w:sz w:val="20"/>
                <w:szCs w:val="20"/>
                <w:lang w:eastAsia="zh-CN"/>
              </w:rPr>
              <w:t>、固体废弃物、噪声</w:t>
            </w:r>
            <w:r>
              <w:rPr>
                <w:rFonts w:hint="eastAsia" w:ascii="宋体"/>
                <w:color w:val="000000"/>
                <w:sz w:val="20"/>
                <w:szCs w:val="20"/>
                <w:lang w:val="en-US" w:eastAsia="zh-CN"/>
              </w:rPr>
              <w:t>排放、废气排放、粉尘排放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Cs w:val="21"/>
              </w:rPr>
              <w:t>潜在火灾、触电、</w:t>
            </w:r>
            <w:r>
              <w:rPr>
                <w:rFonts w:hint="eastAsia"/>
                <w:szCs w:val="21"/>
                <w:lang w:val="en-US" w:eastAsia="zh-CN"/>
              </w:rPr>
              <w:t>粉尘</w:t>
            </w:r>
            <w:r>
              <w:rPr>
                <w:rFonts w:hint="eastAsia"/>
                <w:szCs w:val="21"/>
              </w:rPr>
              <w:t>伤害、机械伤害、噪声伤害、意外伤害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bl>
    <w:p>
      <w:pPr>
        <w:numPr>
          <w:ilvl w:val="0"/>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color w:val="000000"/>
                <w:spacing w:val="-10"/>
                <w:sz w:val="20"/>
                <w:szCs w:val="20"/>
                <w:lang w:eastAsia="zh-CN"/>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eastAsia="宋体" w:cs="Times New Roman"/>
          <w:b/>
          <w:color w:val="000000"/>
          <w:spacing w:val="-2"/>
          <w:kern w:val="2"/>
          <w:sz w:val="26"/>
          <w:szCs w:val="26"/>
          <w:lang w:val="en-US" w:eastAsia="zh-CN" w:bidi="ar-SA"/>
        </w:rPr>
        <w:t>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r>
              <w:rPr>
                <w:rFonts w:hint="eastAsia" w:ascii="宋体" w:hAnsi="宋体"/>
                <w:b/>
                <w:color w:val="000000"/>
                <w:sz w:val="20"/>
                <w:szCs w:val="20"/>
                <w:lang w:val="en-US" w:eastAsia="zh-CN"/>
              </w:rPr>
              <w:t>实验室、供销部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hint="eastAsia" w:ascii="宋体" w:hAns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范围无变化见初定的管理体系认证范围：</w:t>
      </w:r>
    </w:p>
    <w:p>
      <w:pPr>
        <w:ind w:firstLine="420" w:firstLineChars="200"/>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资质范围内的预拌商品混凝土的生产</w:t>
      </w:r>
    </w:p>
    <w:p>
      <w:pPr>
        <w:ind w:firstLine="420" w:firstLineChars="200"/>
        <w:rPr>
          <w:rFonts w:hint="eastAsia" w:ascii="宋体" w:hAnsi="宋体"/>
          <w:szCs w:val="21"/>
        </w:rPr>
      </w:pPr>
      <w:r>
        <w:rPr>
          <w:rFonts w:hint="eastAsia" w:ascii="宋体" w:hAnsi="宋体"/>
          <w:szCs w:val="21"/>
        </w:rPr>
        <w:t>E：</w:t>
      </w:r>
      <w:r>
        <w:rPr>
          <w:rFonts w:hint="eastAsia" w:ascii="宋体" w:hAnsi="宋体"/>
          <w:szCs w:val="21"/>
          <w:lang w:eastAsia="zh-CN"/>
        </w:rPr>
        <w:t>资质范围内的预拌商品混凝土的生产</w:t>
      </w:r>
      <w:r>
        <w:rPr>
          <w:rFonts w:hint="eastAsia" w:ascii="宋体" w:hAnsi="宋体"/>
          <w:szCs w:val="21"/>
        </w:rPr>
        <w:t>所涉及场所相关的环境管理活动</w:t>
      </w:r>
    </w:p>
    <w:p>
      <w:pPr>
        <w:spacing w:line="300" w:lineRule="auto"/>
        <w:ind w:firstLine="420" w:firstLineChars="200"/>
        <w:rPr>
          <w:rFonts w:hint="eastAsia" w:ascii="宋体" w:hAnsi="宋体"/>
          <w:b/>
          <w:color w:val="000000"/>
          <w:sz w:val="20"/>
          <w:szCs w:val="20"/>
        </w:rPr>
      </w:pPr>
      <w:r>
        <w:rPr>
          <w:rFonts w:hint="eastAsia" w:ascii="宋体" w:hAnsi="宋体"/>
          <w:szCs w:val="21"/>
        </w:rPr>
        <w:t>O：</w:t>
      </w:r>
      <w:r>
        <w:rPr>
          <w:rFonts w:hint="eastAsia" w:ascii="宋体" w:hAnsi="宋体"/>
          <w:szCs w:val="21"/>
          <w:lang w:eastAsia="zh-CN"/>
        </w:rPr>
        <w:t>资质范围内的预拌商品混凝土的生产</w:t>
      </w:r>
      <w:r>
        <w:rPr>
          <w:rFonts w:hint="eastAsia" w:ascii="宋体" w:hAnsi="宋体"/>
          <w:szCs w:val="21"/>
        </w:rPr>
        <w:t>所涉及场所相关的职业健康安全管理活动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1707515</wp:posOffset>
            </wp:positionH>
            <wp:positionV relativeFrom="paragraph">
              <wp:posOffset>269875</wp:posOffset>
            </wp:positionV>
            <wp:extent cx="892175" cy="429895"/>
            <wp:effectExtent l="0" t="0" r="3175" b="6985"/>
            <wp:wrapNone/>
            <wp:docPr id="1" name="图片 1" descr="c279cebdbccec1c61204f6246210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79cebdbccec1c61204f624621003e"/>
                    <pic:cNvPicPr>
                      <a:picLocks noChangeAspect="1"/>
                    </pic:cNvPicPr>
                  </pic:nvPicPr>
                  <pic:blipFill>
                    <a:blip r:embed="rId6"/>
                    <a:stretch>
                      <a:fillRect/>
                    </a:stretch>
                  </pic:blipFill>
                  <pic:spPr>
                    <a:xfrm>
                      <a:off x="0" y="0"/>
                      <a:ext cx="892175" cy="42989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59264" behindDoc="0" locked="0" layoutInCell="1" allowOverlap="1">
            <wp:simplePos x="0" y="0"/>
            <wp:positionH relativeFrom="column">
              <wp:posOffset>1713230</wp:posOffset>
            </wp:positionH>
            <wp:positionV relativeFrom="paragraph">
              <wp:posOffset>231775</wp:posOffset>
            </wp:positionV>
            <wp:extent cx="1007110" cy="440055"/>
            <wp:effectExtent l="0" t="0" r="2540" b="171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7"/>
                    <a:stretch>
                      <a:fillRect/>
                    </a:stretch>
                  </pic:blipFill>
                  <pic:spPr>
                    <a:xfrm>
                      <a:off x="0" y="0"/>
                      <a:ext cx="1007110" cy="440055"/>
                    </a:xfrm>
                    <a:prstGeom prst="rect">
                      <a:avLst/>
                    </a:prstGeom>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2021年2月7日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sz w:val="24"/>
              </w:rPr>
              <w:pict>
                <v:line id="_x0000_s1026" o:spid="_x0000_s1026" o:spt="20" style="position:absolute;left:0pt;flip:y;margin-left:-29.85pt;margin-top:-160.9pt;height:259.55pt;width:448.2pt;z-index:251663360;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94FAE"/>
    <w:multiLevelType w:val="singleLevel"/>
    <w:tmpl w:val="46194FA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1605A"/>
    <w:rsid w:val="02A13C0E"/>
    <w:rsid w:val="12BA6C13"/>
    <w:rsid w:val="1B9F1B64"/>
    <w:rsid w:val="1D2D65D7"/>
    <w:rsid w:val="3CC9096D"/>
    <w:rsid w:val="48B711DC"/>
    <w:rsid w:val="55034CD8"/>
    <w:rsid w:val="60A34584"/>
    <w:rsid w:val="66026B21"/>
    <w:rsid w:val="68C52210"/>
    <w:rsid w:val="7C2B6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2021-02-18T09:23:00Z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