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西安德杰特石油技术有限公司</w:t>
      </w:r>
      <w:bookmarkEnd w:id="0"/>
    </w:p>
    <w:p>
      <w:pPr>
        <w:snapToGrid w:val="0"/>
        <w:spacing w:after="93" w:afterLines="30"/>
        <w:ind w:firstLine="1928" w:firstLineChars="600"/>
        <w:rPr>
          <w:rFonts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3"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3"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5"/>
          <w:rFonts w:hint="eastAsia" w:ascii="楷体" w:hAnsi="楷体" w:eastAsia="楷体"/>
          <w:b/>
          <w:sz w:val="36"/>
          <w:szCs w:val="36"/>
        </w:rPr>
        <w:t>www.china-isc.org.cn</w:t>
      </w:r>
      <w:r>
        <w:rPr>
          <w:rStyle w:val="15"/>
          <w:rFonts w:hint="eastAsia" w:ascii="楷体" w:hAnsi="楷体" w:eastAsia="楷体"/>
          <w:b/>
          <w:sz w:val="36"/>
          <w:szCs w:val="36"/>
        </w:rPr>
        <w:fldChar w:fldCharType="end"/>
      </w: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2"/>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Q:29.10.07,34.06.00</w:t>
            </w:r>
          </w:p>
          <w:p>
            <w:pPr>
              <w:spacing w:line="240" w:lineRule="exact"/>
              <w:jc w:val="center"/>
              <w:rPr>
                <w:b/>
                <w:color w:val="000000" w:themeColor="text1"/>
                <w:sz w:val="20"/>
                <w:szCs w:val="20"/>
              </w:rPr>
            </w:pPr>
            <w:r>
              <w:rPr>
                <w:b/>
                <w:color w:val="000000" w:themeColor="text1"/>
                <w:sz w:val="20"/>
                <w:szCs w:val="20"/>
              </w:rPr>
              <w:t>E:29.10.07,34.06.00</w:t>
            </w:r>
          </w:p>
          <w:p>
            <w:pPr>
              <w:spacing w:line="240" w:lineRule="exact"/>
              <w:jc w:val="center"/>
              <w:rPr>
                <w:b/>
                <w:color w:val="000000" w:themeColor="text1"/>
                <w:sz w:val="20"/>
                <w:szCs w:val="20"/>
              </w:rPr>
            </w:pPr>
            <w:r>
              <w:rPr>
                <w:b/>
                <w:color w:val="000000" w:themeColor="text1"/>
                <w:sz w:val="20"/>
                <w:szCs w:val="20"/>
              </w:rPr>
              <w:t>O:29.10.07,34.06.00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郭力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6"/>
        <w:numPr>
          <w:ilvl w:val="0"/>
          <w:numId w:val="1"/>
        </w:numPr>
        <w:ind w:left="-142" w:hanging="709" w:firstLineChars="0"/>
        <w:rPr>
          <w:rFonts w:hint="eastAsia"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p>
    <w:p>
      <w:pPr>
        <w:pStyle w:val="16"/>
        <w:numPr>
          <w:numId w:val="0"/>
        </w:numPr>
        <w:ind w:left="-851" w:leftChars="0"/>
        <w:rPr>
          <w:rFonts w:hint="eastAsia" w:ascii="宋体" w:hAnsi="宋体"/>
          <w:b/>
          <w:color w:val="000000" w:themeColor="text1"/>
          <w:spacing w:val="-10"/>
          <w:sz w:val="20"/>
          <w:szCs w:val="20"/>
        </w:rPr>
      </w:pPr>
      <w:r>
        <w:rPr>
          <w:rFonts w:hint="eastAsia" w:ascii="宋体" w:hAnsi="宋体"/>
          <w:b/>
          <w:color w:val="000000" w:themeColor="text1"/>
          <w:spacing w:val="-10"/>
          <w:sz w:val="20"/>
          <w:szCs w:val="20"/>
        </w:rPr>
        <w:t>Q：GB/T19001-2016/ISO9001:2015,E：GB/T 24001-2016/ISO14001:2015,O：GB/T45001-2020 / ISO45001：2018</w:t>
      </w:r>
      <w:bookmarkEnd w:id="4"/>
    </w:p>
    <w:p>
      <w:pPr>
        <w:pStyle w:val="16"/>
        <w:numPr>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西安德杰特石油技术有限公司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7" w:name="注册地址"/>
            <w:r>
              <w:rPr>
                <w:rFonts w:ascii="宋体" w:hAnsi="宋体"/>
                <w:b/>
                <w:color w:val="000000" w:themeColor="text1"/>
                <w:sz w:val="20"/>
                <w:szCs w:val="20"/>
              </w:rPr>
              <w:t>陕西省西安市未央区太华北路大明宫万达甲1写字间1704室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陕西省西安市未央区太华北路大明宫万达甲1写字间1704室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张学锋</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13388021632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刘晓</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张学锋</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Q：油田助剂丶钻采专用设备的销售；油田钻采技术开发及技术服务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E：油田助剂丶钻采专用设备的销售；油田钻采技术开发及技术服务所涉及场所的相关环境管理活动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O：油田助剂丶钻采专用设备的销售；油田钻采技术开发及技术服务所涉及场所的相关职业健康安全管理活动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Q：29.10.07;34.06.00</w:t>
            </w:r>
          </w:p>
          <w:p>
            <w:pPr>
              <w:spacing w:line="320" w:lineRule="exact"/>
              <w:rPr>
                <w:rFonts w:ascii="宋体" w:hAnsi="宋体"/>
                <w:b/>
                <w:color w:val="000000" w:themeColor="text1"/>
                <w:sz w:val="20"/>
                <w:szCs w:val="20"/>
              </w:rPr>
            </w:pPr>
            <w:r>
              <w:rPr>
                <w:rFonts w:ascii="宋体" w:hAnsi="宋体"/>
                <w:b/>
                <w:color w:val="000000" w:themeColor="text1"/>
                <w:sz w:val="20"/>
                <w:szCs w:val="20"/>
              </w:rPr>
              <w:t>E：29.10.07;34.06.00</w:t>
            </w:r>
          </w:p>
          <w:p>
            <w:pPr>
              <w:spacing w:line="320" w:lineRule="exact"/>
              <w:rPr>
                <w:rFonts w:ascii="宋体" w:hAnsi="宋体"/>
                <w:b/>
                <w:color w:val="000000" w:themeColor="text1"/>
                <w:sz w:val="20"/>
                <w:szCs w:val="20"/>
              </w:rPr>
            </w:pPr>
            <w:r>
              <w:rPr>
                <w:rFonts w:ascii="宋体" w:hAnsi="宋体"/>
                <w:b/>
                <w:color w:val="000000" w:themeColor="text1"/>
                <w:sz w:val="20"/>
                <w:szCs w:val="20"/>
              </w:rPr>
              <w:t>O：29.10.07;34.06.00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2022-09-01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b/>
                <w:color w:val="000000" w:themeColor="text1"/>
                <w:sz w:val="20"/>
                <w:szCs w:val="20"/>
              </w:rPr>
            </w:pPr>
            <w:r>
              <w:rPr>
                <w:rFonts w:hint="eastAsia" w:ascii="宋体" w:hAnsi="宋体"/>
                <w:b/>
                <w:color w:val="000000" w:themeColor="text1"/>
                <w:sz w:val="20"/>
                <w:szCs w:val="20"/>
              </w:rPr>
              <w:t>陕西省西安市未央区太华北路大明宫万达甲1写字间1704室</w:t>
            </w:r>
          </w:p>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3"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b/>
                <w:color w:val="000000" w:themeColor="text1"/>
                <w:sz w:val="20"/>
                <w:szCs w:val="20"/>
              </w:rPr>
              <w:t>管理层</w:t>
            </w:r>
          </w:p>
        </w:tc>
        <w:tc>
          <w:tcPr>
            <w:tcW w:w="6804" w:type="dxa"/>
            <w:vAlign w:val="top"/>
          </w:tcPr>
          <w:p>
            <w:pPr>
              <w:spacing w:line="240" w:lineRule="exact"/>
              <w:jc w:val="left"/>
              <w:rPr>
                <w:rFonts w:ascii="宋体" w:hAnsi="宋体"/>
                <w:b/>
                <w:color w:val="000000" w:themeColor="text1"/>
                <w:spacing w:val="-20"/>
                <w:sz w:val="20"/>
                <w:szCs w:val="20"/>
                <w:u w:val="single"/>
              </w:rPr>
            </w:pPr>
            <w:r>
              <w:rPr>
                <w:rFonts w:hint="eastAsia" w:ascii="宋体" w:hAnsi="宋体"/>
                <w:color w:val="000000" w:themeColor="text1"/>
                <w:sz w:val="20"/>
                <w:szCs w:val="20"/>
              </w:rPr>
              <w:t>组织环境、风险和机遇、领导作用、管理评审、资质等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b/>
                <w:color w:val="000000" w:themeColor="text1"/>
                <w:sz w:val="20"/>
                <w:szCs w:val="20"/>
                <w:lang w:val="en-US" w:eastAsia="zh-CN"/>
              </w:rPr>
              <w:t>行政部</w:t>
            </w:r>
          </w:p>
        </w:tc>
        <w:tc>
          <w:tcPr>
            <w:tcW w:w="6804" w:type="dxa"/>
            <w:vAlign w:val="top"/>
          </w:tcPr>
          <w:p>
            <w:pPr>
              <w:spacing w:line="240" w:lineRule="exact"/>
              <w:jc w:val="left"/>
              <w:rPr>
                <w:rFonts w:ascii="宋体" w:hAnsi="宋体"/>
                <w:b/>
                <w:color w:val="000000" w:themeColor="text1"/>
                <w:spacing w:val="-20"/>
                <w:sz w:val="20"/>
                <w:szCs w:val="20"/>
                <w:u w:val="single"/>
              </w:rPr>
            </w:pPr>
            <w:r>
              <w:rPr>
                <w:rFonts w:hint="eastAsia" w:ascii="宋体" w:hAnsi="宋体"/>
                <w:color w:val="000000" w:themeColor="text1"/>
                <w:sz w:val="20"/>
                <w:szCs w:val="20"/>
              </w:rPr>
              <w:t>文件、记录、培训、内审、法律法规、合规性评价、环境因素、危险源识别及运行控制、应急演练等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b/>
                <w:color w:val="000000" w:themeColor="text1"/>
                <w:sz w:val="20"/>
                <w:szCs w:val="20"/>
                <w:lang w:val="en-US" w:eastAsia="zh-CN"/>
              </w:rPr>
              <w:t>销售部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color w:val="000000" w:themeColor="text1"/>
                <w:sz w:val="20"/>
                <w:szCs w:val="20"/>
              </w:rPr>
              <w:t>采购过程、销售过程、相关方施加影响、环境因素、危险源识别及运行控制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ascii="宋体" w:hAnsi="宋体" w:eastAsia="宋体" w:cs="Times New Roman"/>
                <w:b/>
                <w:color w:val="000000" w:themeColor="text1"/>
                <w:sz w:val="20"/>
                <w:szCs w:val="20"/>
                <w:lang w:val="en-US" w:eastAsia="zh-CN"/>
              </w:rPr>
              <w:t>技术部</w:t>
            </w:r>
          </w:p>
        </w:tc>
        <w:tc>
          <w:tcPr>
            <w:tcW w:w="6804" w:type="dxa"/>
            <w:vAlign w:val="top"/>
          </w:tcPr>
          <w:p>
            <w:pPr>
              <w:jc w:val="left"/>
              <w:rPr>
                <w:rFonts w:ascii="宋体" w:hAnsi="宋体"/>
                <w:b/>
                <w:color w:val="000000" w:themeColor="text1"/>
                <w:spacing w:val="-20"/>
                <w:sz w:val="20"/>
                <w:szCs w:val="20"/>
                <w:u w:val="single"/>
              </w:rPr>
            </w:pPr>
            <w:r>
              <w:rPr>
                <w:rFonts w:hint="eastAsia" w:ascii="宋体" w:hAnsi="宋体" w:eastAsia="宋体" w:cs="Times New Roman"/>
                <w:color w:val="000000" w:themeColor="text1"/>
                <w:kern w:val="2"/>
                <w:sz w:val="20"/>
                <w:szCs w:val="20"/>
                <w:lang w:val="en-US" w:eastAsia="zh-CN" w:bidi="ar-SA"/>
              </w:rPr>
              <w:t>开发和技术服务及相应质量、环境、职业健康安全管理体系运行过程；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3"/>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3"/>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rPr>
                <w:rFonts w:ascii="Times New Roman" w:hAnsi="Times New Roman"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油田钻采</w:t>
            </w:r>
          </w:p>
        </w:tc>
        <w:tc>
          <w:tcPr>
            <w:tcW w:w="2519" w:type="dxa"/>
            <w:vAlign w:val="top"/>
          </w:tcPr>
          <w:p>
            <w:pPr>
              <w:rPr>
                <w:rFonts w:hint="default" w:ascii="Times New Roman" w:hAnsi="Times New Roman"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技术</w:t>
            </w:r>
            <w:r>
              <w:rPr>
                <w:rFonts w:hint="eastAsia"/>
                <w:b/>
                <w:color w:val="000000" w:themeColor="text1"/>
                <w:sz w:val="20"/>
                <w:szCs w:val="20"/>
                <w:lang w:val="en-US" w:eastAsia="zh-CN"/>
              </w:rPr>
              <w:t>开发及技术服务</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snapToGrid w:val="0"/>
              <w:spacing w:line="280" w:lineRule="exact"/>
              <w:jc w:val="left"/>
              <w:rPr>
                <w:rFonts w:ascii="Times New Roman" w:hAnsi="Times New Roman" w:eastAsia="宋体" w:cs="Times New Roman"/>
                <w:b/>
                <w:color w:val="000000" w:themeColor="text1"/>
                <w:kern w:val="2"/>
                <w:sz w:val="20"/>
                <w:szCs w:val="20"/>
                <w:lang w:val="en-US" w:eastAsia="zh-CN" w:bidi="ar-SA"/>
              </w:rPr>
            </w:pPr>
            <w:r>
              <w:rPr>
                <w:rFonts w:hint="eastAsia"/>
                <w:b/>
                <w:sz w:val="20"/>
              </w:rPr>
              <w:t>井控技术规定Q/SY TH0082-2000、井控设备现场安装及验收规程Q/SY TH0059-2000、井喷的预防及处理工艺规程Q/SY TH0058-2000、井喷压井操作规程Q/SY TH0080-2000、高压油气井钻井过程井控作业规程Q/SY TH0081-2000、钻井工程资料填写验收规程Q/SY TH0070-2000、长庆油田生产测井及试井仪器刻度标定规范Q/SY CQ 2013-07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top"/>
          </w:tcPr>
          <w:p>
            <w:pPr>
              <w:spacing w:line="320" w:lineRule="exact"/>
              <w:rPr>
                <w:rFonts w:ascii="Times New Roman" w:hAnsi="Times New Roman"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油田助剂丶钻采专用设备</w:t>
            </w:r>
          </w:p>
        </w:tc>
        <w:tc>
          <w:tcPr>
            <w:tcW w:w="2519" w:type="dxa"/>
            <w:vAlign w:val="top"/>
          </w:tcPr>
          <w:p>
            <w:pPr>
              <w:tabs>
                <w:tab w:val="center" w:pos="1151"/>
              </w:tabs>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lang w:val="en-US" w:eastAsia="zh-CN"/>
              </w:rPr>
              <w:t>销售</w:t>
            </w:r>
          </w:p>
        </w:tc>
        <w:tc>
          <w:tcPr>
            <w:tcW w:w="1843" w:type="dxa"/>
            <w:vAlign w:val="top"/>
          </w:tcPr>
          <w:p>
            <w:pPr>
              <w:rPr>
                <w:rFonts w:ascii="Times New Roman" w:hAnsi="Times New Roman" w:eastAsia="宋体" w:cs="Times New Roman"/>
                <w:b/>
                <w:color w:val="000000" w:themeColor="text1"/>
                <w:kern w:val="2"/>
                <w:sz w:val="20"/>
                <w:szCs w:val="20"/>
                <w:lang w:val="en-US" w:eastAsia="zh-CN" w:bidi="ar-SA"/>
              </w:rPr>
            </w:pPr>
          </w:p>
        </w:tc>
        <w:tc>
          <w:tcPr>
            <w:tcW w:w="3543" w:type="dxa"/>
            <w:vAlign w:val="top"/>
          </w:tcPr>
          <w:p>
            <w:pPr>
              <w:rPr>
                <w:rFonts w:hint="eastAsia" w:ascii="Times New Roman" w:hAnsi="Times New Roman" w:eastAsia="宋体" w:cs="Times New Roman"/>
                <w:b/>
                <w:color w:val="000000" w:themeColor="text1"/>
                <w:kern w:val="2"/>
                <w:sz w:val="20"/>
                <w:szCs w:val="20"/>
                <w:lang w:val="en-US" w:eastAsia="zh-CN" w:bidi="ar-SA"/>
              </w:rPr>
            </w:pPr>
            <w:r>
              <w:rPr>
                <w:rFonts w:hint="eastAsia"/>
                <w:b/>
                <w:color w:val="000000" w:themeColor="text1"/>
                <w:sz w:val="20"/>
                <w:szCs w:val="20"/>
              </w:rPr>
              <w:t>GB/T 13983-1992仪器仪表基本术语、GB/T 28879-2012电工仪器仪表产品型号编制方法</w:t>
            </w:r>
            <w:r>
              <w:rPr>
                <w:rFonts w:hint="eastAsia"/>
                <w:b/>
                <w:color w:val="000000" w:themeColor="text1"/>
                <w:sz w:val="20"/>
                <w:szCs w:val="20"/>
                <w:lang w:eastAsia="zh-CN"/>
              </w:rPr>
              <w:t>、</w:t>
            </w:r>
            <w:r>
              <w:rPr>
                <w:rFonts w:hint="eastAsia"/>
                <w:b/>
                <w:sz w:val="20"/>
              </w:rPr>
              <w:t>聚醚酯消泡剂HG/T 5259-2017</w:t>
            </w:r>
            <w:r>
              <w:rPr>
                <w:rFonts w:hint="eastAsia"/>
                <w:b/>
                <w:sz w:val="20"/>
                <w:lang w:eastAsia="zh-CN"/>
              </w:rPr>
              <w:t>、</w:t>
            </w:r>
            <w:r>
              <w:rPr>
                <w:rFonts w:hint="eastAsia"/>
                <w:b/>
                <w:sz w:val="20"/>
              </w:rPr>
              <w:t>活性炭脱硫剂GB7701.1.97</w:t>
            </w:r>
            <w:r>
              <w:rPr>
                <w:rFonts w:hint="eastAsia"/>
                <w:b/>
                <w:sz w:val="20"/>
                <w:lang w:eastAsia="zh-CN"/>
              </w:rPr>
              <w:t>、</w:t>
            </w:r>
            <w:r>
              <w:rPr>
                <w:rFonts w:hint="eastAsia"/>
                <w:b/>
                <w:sz w:val="20"/>
              </w:rPr>
              <w:t>采油用有机胺类水溶性脱硫剂技术规范Q/SY C 17007-2017</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r>
        <w:rPr>
          <w:rFonts w:hint="eastAsia"/>
          <w:b/>
          <w:color w:val="000000" w:themeColor="text1"/>
          <w:spacing w:val="-10"/>
          <w:szCs w:val="21"/>
          <w:lang w:val="en-US" w:eastAsia="zh-CN"/>
        </w:rPr>
        <w:t>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360" w:lineRule="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360" w:lineRule="auto"/>
              <w:rPr>
                <w:rFonts w:ascii="宋体" w:cs="宋体"/>
                <w:szCs w:val="21"/>
              </w:rPr>
            </w:pPr>
            <w:r>
              <w:rPr>
                <w:rFonts w:hint="eastAsia" w:ascii="宋体" w:hAnsi="宋体" w:cs="宋体"/>
                <w:szCs w:val="21"/>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360" w:lineRule="auto"/>
              <w:rPr>
                <w:b/>
                <w:color w:val="000000" w:themeColor="text1"/>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360" w:lineRule="auto"/>
              <w:rPr>
                <w:rFonts w:hint="eastAsia"/>
                <w:color w:val="000000"/>
                <w:szCs w:val="21"/>
              </w:rPr>
            </w:pPr>
            <w:r>
              <w:rPr>
                <w:rFonts w:hint="eastAsia"/>
                <w:b/>
                <w:color w:val="000000" w:themeColor="text1"/>
                <w:sz w:val="20"/>
                <w:szCs w:val="20"/>
              </w:rPr>
              <w:t>相关方需求和期望识别情况</w:t>
            </w:r>
          </w:p>
          <w:p>
            <w:pPr>
              <w:spacing w:line="360" w:lineRule="auto"/>
              <w:rPr>
                <w:rFonts w:ascii="宋体" w:hAnsi="宋体" w:cs="宋体"/>
                <w:szCs w:val="21"/>
              </w:rPr>
            </w:pPr>
            <w:r>
              <w:rPr>
                <w:rFonts w:hint="eastAsia" w:ascii="宋体" w:hAnsi="宋体" w:cs="宋体"/>
                <w:szCs w:val="21"/>
              </w:rPr>
              <w:t>公司主要对与质量环境职业健康安全相关的各相关方及其要求的相关信息进行监视和评审，以便于理解和持续满足相关方的需求和期望。</w:t>
            </w:r>
          </w:p>
          <w:p>
            <w:pPr>
              <w:numPr>
                <w:ilvl w:val="0"/>
                <w:numId w:val="0"/>
              </w:numPr>
              <w:spacing w:line="360" w:lineRule="auto"/>
              <w:ind w:left="0" w:leftChars="0" w:firstLine="0" w:firstLineChars="0"/>
              <w:rPr>
                <w:b/>
                <w:color w:val="000000" w:themeColor="text1"/>
                <w:sz w:val="20"/>
                <w:szCs w:val="20"/>
              </w:rPr>
            </w:pPr>
            <w:r>
              <w:rPr>
                <w:rFonts w:hint="eastAsia" w:ascii="宋体" w:hAnsi="宋体" w:cs="宋体"/>
                <w:szCs w:val="21"/>
              </w:rPr>
              <w:t>本公司考虑以下相关方：顾客；供方；员工；审核机构等；政府机构等；并根据各相关方识别了相应的需求和期望，明确了监测指标或项目，监测频次，监控部门等。如顾客产品质量符合要求、及时交货、价格合理；政府机构主要是安全生产、环保生产、就业最大化、经营效益好等。识别基本充分。提供《相关方的要求和期望清单》，识别员工、供应商、顾客、社会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360" w:lineRule="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 xml:space="preserve">质量、环境、职业健康安全方针是： </w:t>
            </w:r>
          </w:p>
          <w:p>
            <w:pPr>
              <w:spacing w:line="360" w:lineRule="auto"/>
              <w:ind w:firstLine="420" w:firstLineChars="200"/>
              <w:rPr>
                <w:rFonts w:hint="eastAsia" w:ascii="Times New Roman" w:hAnsi="Times New Roman" w:eastAsia="宋体" w:cs="Times New Roman"/>
                <w:szCs w:val="22"/>
              </w:rPr>
            </w:pPr>
            <w:r>
              <w:rPr>
                <w:rFonts w:hint="eastAsia" w:ascii="Times New Roman" w:hAnsi="Times New Roman" w:eastAsia="宋体" w:cs="Times New Roman"/>
                <w:szCs w:val="22"/>
              </w:rPr>
              <w:t>顾客至上、优质高效；保护环境、减污降噪；以人为本、安全生产；遵纪守法、持续改进；提高素质、构建和谐；</w:t>
            </w:r>
          </w:p>
          <w:p>
            <w:pPr>
              <w:spacing w:line="360" w:lineRule="auto"/>
              <w:ind w:firstLine="420" w:firstLineChars="200"/>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0"/>
              </w:numPr>
              <w:spacing w:line="360" w:lineRule="auto"/>
              <w:ind w:leftChars="0"/>
              <w:rPr>
                <w:rFonts w:hint="eastAsia"/>
                <w:b/>
                <w:color w:val="000000" w:themeColor="text1"/>
              </w:rPr>
            </w:pPr>
            <w:r>
              <w:rPr>
                <w:rFonts w:hint="eastAsia"/>
                <w:b/>
                <w:color w:val="000000" w:themeColor="text1"/>
                <w:lang w:val="en-US" w:eastAsia="zh-CN"/>
              </w:rPr>
              <w:t>4、</w:t>
            </w:r>
            <w:r>
              <w:rPr>
                <w:rFonts w:hint="eastAsia"/>
                <w:b/>
                <w:color w:val="000000" w:themeColor="text1"/>
              </w:rPr>
              <w:t>风险识别与控制策划（QMS）</w:t>
            </w:r>
          </w:p>
          <w:p>
            <w:pPr>
              <w:numPr>
                <w:ilvl w:val="0"/>
                <w:numId w:val="0"/>
              </w:numPr>
              <w:spacing w:line="360" w:lineRule="auto"/>
              <w:ind w:leftChars="0"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spacing w:line="360" w:lineRule="auto"/>
              <w:ind w:firstLine="42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spacing w:line="360" w:lineRule="auto"/>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none"/>
              </w:rPr>
              <w:t xml:space="preserve">  </w:t>
            </w:r>
            <w:r>
              <w:rPr>
                <w:rFonts w:hint="eastAsia"/>
                <w:b w:val="0"/>
                <w:bCs/>
                <w:sz w:val="20"/>
                <w:szCs w:val="22"/>
                <w:u w:val="single"/>
                <w:lang w:val="en-US" w:eastAsia="zh-CN"/>
              </w:rPr>
              <w:t>销售过程、成果设计</w:t>
            </w:r>
            <w:r>
              <w:rPr>
                <w:rFonts w:hint="eastAsia" w:ascii="宋体" w:hAnsi="宋体"/>
                <w:b w:val="0"/>
                <w:bCs/>
                <w:color w:val="000000" w:themeColor="text1"/>
                <w:sz w:val="20"/>
                <w:szCs w:val="20"/>
                <w:u w:val="single"/>
              </w:rPr>
              <w:t xml:space="preserve">  </w:t>
            </w:r>
          </w:p>
          <w:p>
            <w:pPr>
              <w:tabs>
                <w:tab w:val="left" w:pos="540"/>
              </w:tabs>
              <w:spacing w:line="360" w:lineRule="auto"/>
              <w:ind w:left="201" w:hanging="201" w:hangingChars="100"/>
              <w:rPr>
                <w:rFonts w:ascii="宋体" w:hAnsi="宋体"/>
                <w:b w:val="0"/>
                <w:bCs/>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val="0"/>
                <w:bCs/>
                <w:color w:val="000000" w:themeColor="text1"/>
                <w:sz w:val="20"/>
                <w:szCs w:val="20"/>
              </w:rPr>
              <w:t xml:space="preserve"> </w:t>
            </w:r>
            <w:r>
              <w:rPr>
                <w:rFonts w:hint="eastAsia"/>
                <w:b w:val="0"/>
                <w:bCs/>
                <w:sz w:val="20"/>
                <w:szCs w:val="22"/>
                <w:u w:val="single"/>
                <w:lang w:val="en-US" w:eastAsia="zh-CN"/>
              </w:rPr>
              <w:t>销售服务过程</w:t>
            </w:r>
          </w:p>
          <w:p>
            <w:pPr>
              <w:tabs>
                <w:tab w:val="left" w:pos="540"/>
              </w:tabs>
              <w:spacing w:line="360" w:lineRule="auto"/>
              <w:ind w:left="201" w:leftChars="0" w:hanging="201" w:hangingChars="100"/>
              <w:rPr>
                <w:rFonts w:ascii="宋体" w:hAnsi="宋体"/>
                <w:b/>
                <w:color w:val="000000" w:themeColor="text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u w:val="single"/>
              </w:rPr>
              <w:t xml:space="preserve"> </w:t>
            </w:r>
            <w:r>
              <w:rPr>
                <w:rFonts w:hint="eastAsia" w:ascii="宋体" w:hAnsi="宋体"/>
                <w:b w:val="0"/>
                <w:bCs/>
                <w:color w:val="000000" w:themeColor="text1"/>
                <w:sz w:val="20"/>
                <w:szCs w:val="20"/>
                <w:u w:val="single"/>
              </w:rPr>
              <w:t xml:space="preserve"> </w:t>
            </w:r>
            <w:r>
              <w:rPr>
                <w:rFonts w:hint="eastAsia" w:ascii="宋体" w:hAnsi="宋体"/>
                <w:b w:val="0"/>
                <w:bCs/>
                <w:color w:val="000000" w:themeColor="text1"/>
                <w:sz w:val="20"/>
                <w:szCs w:val="20"/>
                <w:u w:val="single"/>
                <w:lang w:val="en-US" w:eastAsia="zh-CN"/>
              </w:rPr>
              <w:t>/</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 xml:space="preserve">  ，不适用理由：</w:t>
            </w:r>
            <w:r>
              <w:rPr>
                <w:rFonts w:hint="eastAsia" w:ascii="宋体" w:hAnsi="宋体"/>
                <w:b w:val="0"/>
                <w:bCs/>
                <w:color w:val="000000" w:themeColor="text1"/>
                <w:sz w:val="20"/>
                <w:szCs w:val="20"/>
                <w:u w:val="single"/>
                <w:lang w:val="en-US" w:eastAsia="zh-CN"/>
              </w:rPr>
              <w:t xml:space="preserve"> /</w:t>
            </w:r>
            <w:r>
              <w:rPr>
                <w:rFonts w:hint="eastAsia" w:ascii="宋体" w:hAnsi="宋体"/>
                <w:b w:val="0"/>
                <w:bCs/>
                <w:color w:val="000000" w:themeColor="text1"/>
                <w:sz w:val="20"/>
                <w:szCs w:val="20"/>
                <w:u w:val="singl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60" w:lineRule="auto"/>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识别了办公、开发及技术服务、采购、销售等过程的环境因素，动态更新，评价出的重要环境因素包括：火灾隐患、固废等。</w:t>
            </w:r>
          </w:p>
          <w:p>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Times New Roman"/>
                <w:color w:val="000000" w:themeColor="text1"/>
                <w:szCs w:val="21"/>
                <w:lang w:val="en-US" w:eastAsia="zh-CN"/>
              </w:rPr>
            </w:pPr>
            <w:r>
              <w:rPr>
                <w:rFonts w:hint="eastAsia" w:ascii="宋体" w:hAnsi="宋体" w:eastAsia="宋体" w:cs="Times New Roman"/>
                <w:color w:val="000000" w:themeColor="text1"/>
                <w:szCs w:val="21"/>
                <w:lang w:val="en-US" w:eastAsia="zh-CN"/>
              </w:rPr>
              <w:t>在采购、销售、开发及技术服务、交付、日常办公等过程能使用生命周期观点和方法识别环境因素并加以管理。</w:t>
            </w:r>
          </w:p>
          <w:p>
            <w:pPr>
              <w:pStyle w:val="5"/>
              <w:keepNext w:val="0"/>
              <w:keepLines w:val="0"/>
              <w:pageBreakBefore w:val="0"/>
              <w:widowControl w:val="0"/>
              <w:kinsoku/>
              <w:wordWrap/>
              <w:overflowPunct/>
              <w:topLinePunct w:val="0"/>
              <w:autoSpaceDE/>
              <w:autoSpaceDN/>
              <w:bidi w:val="0"/>
              <w:adjustRightInd w:val="0"/>
              <w:snapToGrid w:val="0"/>
              <w:spacing w:line="360" w:lineRule="auto"/>
              <w:textAlignment w:val="auto"/>
              <w:rPr>
                <w:b/>
                <w:color w:val="000000" w:themeColor="text1"/>
                <w:sz w:val="20"/>
                <w:szCs w:val="20"/>
              </w:rPr>
            </w:pPr>
            <w:r>
              <w:rPr>
                <w:rFonts w:hint="eastAsia" w:ascii="宋体" w:hAnsi="宋体" w:eastAsia="宋体" w:cs="Times New Roman"/>
                <w:color w:val="000000" w:themeColor="text1"/>
                <w:szCs w:val="21"/>
                <w:lang w:val="en-US" w:eastAsia="zh-CN"/>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5"/>
              <w:spacing w:line="360" w:lineRule="auto"/>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5"/>
              <w:spacing w:line="360" w:lineRule="auto"/>
              <w:rPr>
                <w:rFonts w:ascii="宋体" w:hAnsi="宋体"/>
                <w:color w:val="000000" w:themeColor="text1"/>
                <w:szCs w:val="21"/>
              </w:rPr>
            </w:pPr>
            <w:r>
              <w:rPr>
                <w:rFonts w:hint="eastAsia" w:ascii="宋体" w:hAnsi="宋体"/>
                <w:color w:val="000000" w:themeColor="text1"/>
                <w:szCs w:val="21"/>
              </w:rPr>
              <w:t>识别了办公、</w:t>
            </w:r>
            <w:r>
              <w:rPr>
                <w:rFonts w:hint="eastAsia" w:ascii="宋体" w:hAnsi="宋体" w:eastAsia="宋体" w:cs="Times New Roman"/>
                <w:color w:val="000000" w:themeColor="text1"/>
                <w:szCs w:val="21"/>
                <w:lang w:val="en-US" w:eastAsia="zh-CN"/>
              </w:rPr>
              <w:t>开发及技术服务</w:t>
            </w:r>
            <w:r>
              <w:rPr>
                <w:rFonts w:hint="eastAsia" w:ascii="宋体" w:hAnsi="宋体"/>
                <w:color w:val="000000" w:themeColor="text1"/>
                <w:szCs w:val="21"/>
              </w:rPr>
              <w:t>、采购、销售等过程的危险源，动态更新，确定的不可接受风险包括：</w:t>
            </w:r>
            <w:r>
              <w:rPr>
                <w:rFonts w:hint="eastAsia" w:asciiTheme="minorEastAsia" w:hAnsiTheme="minorEastAsia" w:eastAsiaTheme="minorEastAsia" w:cstheme="minorEastAsia"/>
                <w:color w:val="auto"/>
                <w:sz w:val="21"/>
                <w:szCs w:val="21"/>
              </w:rPr>
              <w:t>火灾、触电，</w:t>
            </w:r>
            <w:r>
              <w:rPr>
                <w:rFonts w:hint="eastAsia" w:asciiTheme="minorEastAsia" w:hAnsiTheme="minorEastAsia" w:eastAsiaTheme="minorEastAsia" w:cstheme="minorEastAsia"/>
                <w:color w:val="auto"/>
                <w:sz w:val="21"/>
                <w:szCs w:val="21"/>
                <w:lang w:val="en-US" w:eastAsia="zh-CN"/>
              </w:rPr>
              <w:t>意外交通事故</w:t>
            </w:r>
            <w:r>
              <w:rPr>
                <w:rFonts w:hint="eastAsia" w:ascii="宋体" w:hAnsi="宋体"/>
                <w:color w:val="000000" w:themeColor="text1"/>
                <w:szCs w:val="21"/>
              </w:rPr>
              <w:t>等。</w:t>
            </w:r>
          </w:p>
          <w:p>
            <w:pPr>
              <w:pStyle w:val="5"/>
              <w:spacing w:line="360" w:lineRule="auto"/>
              <w:rPr>
                <w:rFonts w:ascii="宋体" w:hAnsi="宋体"/>
                <w:color w:val="000000" w:themeColor="text1"/>
                <w:szCs w:val="21"/>
              </w:rPr>
            </w:pPr>
            <w:r>
              <w:rPr>
                <w:rFonts w:hint="eastAsia" w:ascii="宋体" w:hAnsi="宋体"/>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spacing w:line="360" w:lineRule="auto"/>
              <w:rPr>
                <w:b/>
                <w:color w:val="000000" w:themeColor="text1"/>
                <w:sz w:val="20"/>
                <w:szCs w:val="20"/>
              </w:rPr>
            </w:pPr>
            <w:r>
              <w:rPr>
                <w:rFonts w:hint="eastAsia" w:ascii="宋体" w:hAnsi="宋体"/>
                <w:color w:val="000000" w:themeColor="text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pStyle w:val="16"/>
              <w:numPr>
                <w:ilvl w:val="0"/>
                <w:numId w:val="3"/>
              </w:numPr>
              <w:tabs>
                <w:tab w:val="left" w:pos="540"/>
              </w:tabs>
              <w:spacing w:line="360" w:lineRule="auto"/>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pStyle w:val="16"/>
              <w:numPr>
                <w:ilvl w:val="0"/>
                <w:numId w:val="0"/>
              </w:numPr>
              <w:tabs>
                <w:tab w:val="left" w:pos="540"/>
              </w:tabs>
              <w:spacing w:line="360" w:lineRule="auto"/>
              <w:ind w:leftChars="0"/>
              <w:rPr>
                <w:rFonts w:ascii="宋体"/>
                <w:b/>
                <w:color w:val="000000"/>
                <w:szCs w:val="21"/>
              </w:rPr>
            </w:pPr>
            <w:r>
              <w:rPr>
                <w:rFonts w:hint="eastAsia" w:ascii="宋体" w:hAnsi="宋体"/>
                <w:b/>
                <w:color w:val="000000"/>
                <w:szCs w:val="21"/>
                <w:lang w:eastAsia="zh-CN"/>
              </w:rPr>
              <w:t>（</w:t>
            </w:r>
            <w:r>
              <w:rPr>
                <w:rFonts w:hint="eastAsia" w:ascii="宋体" w:hAnsi="宋体"/>
                <w:b/>
                <w:color w:val="000000"/>
                <w:szCs w:val="21"/>
                <w:lang w:val="en-US" w:eastAsia="zh-CN"/>
              </w:rPr>
              <w:t>2</w:t>
            </w:r>
            <w:r>
              <w:rPr>
                <w:rFonts w:hint="eastAsia" w:ascii="宋体" w:hAnsi="宋体"/>
                <w:b/>
                <w:color w:val="000000"/>
                <w:szCs w:val="21"/>
                <w:lang w:eastAsia="zh-CN"/>
              </w:rPr>
              <w:t>）</w:t>
            </w: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360" w:lineRule="auto"/>
              <w:rPr>
                <w:rFonts w:hint="eastAsia" w:ascii="宋体" w:hAns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spacing w:line="360" w:lineRule="auto"/>
              <w:rPr>
                <w:rFonts w:ascii="宋体"/>
                <w:b/>
                <w:color w:val="000000"/>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b/>
                <w:color w:val="000000"/>
                <w:szCs w:val="21"/>
              </w:rPr>
              <w:t>法律法规要求及时更新了：是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60" w:lineRule="auto"/>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质量目标</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 xml:space="preserve">1) </w:t>
            </w:r>
            <w:r>
              <w:rPr>
                <w:rFonts w:hint="eastAsia" w:ascii="Times New Roman" w:hAnsi="Times New Roman" w:eastAsia="宋体" w:cs="Times New Roman"/>
                <w:szCs w:val="22"/>
                <w:lang w:val="en-US" w:eastAsia="zh-CN"/>
              </w:rPr>
              <w:t>开发及技术</w:t>
            </w:r>
            <w:r>
              <w:rPr>
                <w:rFonts w:hint="eastAsia" w:ascii="Times New Roman" w:hAnsi="Times New Roman" w:eastAsia="宋体" w:cs="Times New Roman"/>
                <w:szCs w:val="22"/>
              </w:rPr>
              <w:t>服务合格率100%;2）顾客满意度≥90%；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环境目标</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1）固废合理分类为100%；2）火灾事故为0。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职业健康安全目标</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1）意外伤害事故为0；2）火灾事故为0；</w:t>
            </w:r>
          </w:p>
          <w:p>
            <w:pPr>
              <w:spacing w:line="360" w:lineRule="auto"/>
              <w:rPr>
                <w:rFonts w:hint="eastAsia" w:ascii="Times New Roman" w:hAnsi="Times New Roman" w:eastAsia="宋体" w:cs="Times New Roman"/>
                <w:szCs w:val="22"/>
              </w:rPr>
            </w:pPr>
            <w:r>
              <w:rPr>
                <w:rFonts w:hint="eastAsia" w:ascii="Times New Roman" w:hAnsi="Times New Roman" w:eastAsia="宋体" w:cs="Times New Roman"/>
                <w:szCs w:val="22"/>
              </w:rPr>
              <w:t>查《目标考核表》20</w:t>
            </w:r>
            <w:r>
              <w:rPr>
                <w:rFonts w:hint="eastAsia" w:ascii="Times New Roman" w:hAnsi="Times New Roman" w:eastAsia="宋体" w:cs="Times New Roman"/>
                <w:szCs w:val="22"/>
                <w:lang w:val="en-US" w:eastAsia="zh-CN"/>
              </w:rPr>
              <w:t>21</w:t>
            </w:r>
            <w:r>
              <w:rPr>
                <w:rFonts w:hint="eastAsia" w:ascii="Times New Roman" w:hAnsi="Times New Roman" w:eastAsia="宋体" w:cs="Times New Roman"/>
                <w:szCs w:val="22"/>
              </w:rPr>
              <w:t>年</w:t>
            </w: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月</w:t>
            </w:r>
            <w:r>
              <w:rPr>
                <w:rFonts w:hint="eastAsia" w:ascii="Times New Roman" w:hAnsi="Times New Roman" w:eastAsia="宋体" w:cs="Times New Roman"/>
                <w:szCs w:val="22"/>
                <w:lang w:val="en-US" w:eastAsia="zh-CN"/>
              </w:rPr>
              <w:t>4日</w:t>
            </w:r>
            <w:r>
              <w:rPr>
                <w:rFonts w:hint="eastAsia" w:ascii="Times New Roman" w:hAnsi="Times New Roman" w:eastAsia="宋体" w:cs="Times New Roman"/>
                <w:szCs w:val="22"/>
              </w:rPr>
              <w:t>，对目标进行考核，均达到目标，</w:t>
            </w:r>
          </w:p>
          <w:p>
            <w:pPr>
              <w:spacing w:line="360" w:lineRule="auto"/>
              <w:rPr>
                <w:rFonts w:ascii="宋体" w:hAnsi="宋体"/>
                <w:b/>
                <w:color w:val="000000" w:themeColor="text1"/>
              </w:rPr>
            </w:pPr>
            <w:r>
              <w:rPr>
                <w:rFonts w:hint="eastAsia" w:ascii="Times New Roman" w:hAnsi="Times New Roman" w:eastAsia="宋体" w:cs="Times New Roman"/>
                <w:szCs w:val="22"/>
                <w:lang w:val="en-US" w:eastAsia="zh-CN"/>
              </w:rPr>
              <w:t>《环境目标指标管理方案》和《安全目标、指标、管理方案》，环境、安全运行检查。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60" w:lineRule="auto"/>
              <w:ind w:firstLine="420" w:firstLineChars="200"/>
              <w:rPr>
                <w:rFonts w:hint="eastAsia" w:asciiTheme="majorEastAsia" w:hAnsiTheme="majorEastAsia" w:eastAsiaTheme="majorEastAsia" w:cstheme="majorEastAsia"/>
                <w:spacing w:val="20"/>
                <w:sz w:val="21"/>
                <w:szCs w:val="21"/>
                <w:lang w:val="en-US" w:eastAsia="zh-CN"/>
              </w:rPr>
            </w:pPr>
            <w:r>
              <w:rPr>
                <w:rFonts w:hint="eastAsia" w:ascii="宋体" w:hAnsi="宋体" w:cs="宋体"/>
                <w:szCs w:val="21"/>
              </w:rPr>
              <w:t>受审核方建立的管理体系文件包括：管理手册</w:t>
            </w:r>
            <w:r>
              <w:rPr>
                <w:rFonts w:hint="eastAsia" w:ascii="Times New Roman" w:hAnsi="Times New Roman" w:eastAsia="宋体" w:cs="Times New Roman"/>
                <w:lang w:val="en-US" w:eastAsia="zh-CN"/>
              </w:rPr>
              <w:t>DJT/</w:t>
            </w:r>
            <w:r>
              <w:rPr>
                <w:rFonts w:hint="eastAsia" w:ascii="Times New Roman" w:hAnsi="Times New Roman" w:eastAsia="宋体" w:cs="Times New Roman"/>
              </w:rPr>
              <w:t>SC—2020</w:t>
            </w:r>
          </w:p>
          <w:p>
            <w:pPr>
              <w:numPr>
                <w:ilvl w:val="0"/>
                <w:numId w:val="4"/>
              </w:numPr>
              <w:spacing w:line="360" w:lineRule="auto"/>
              <w:rPr>
                <w:rFonts w:ascii="宋体" w:cs="宋体"/>
                <w:szCs w:val="21"/>
              </w:rPr>
            </w:pPr>
            <w:r>
              <w:rPr>
                <w:rFonts w:hint="eastAsia" w:ascii="宋体" w:hAnsi="宋体" w:cs="宋体"/>
                <w:szCs w:val="21"/>
              </w:rPr>
              <w:t>A</w:t>
            </w:r>
            <w:r>
              <w:rPr>
                <w:rFonts w:hint="eastAsia" w:ascii="宋体" w:hAnsi="宋体" w:cs="宋体"/>
                <w:szCs w:val="21"/>
                <w:lang w:val="en-US" w:eastAsia="zh-CN"/>
              </w:rPr>
              <w:t>0</w:t>
            </w:r>
            <w:r>
              <w:rPr>
                <w:rFonts w:ascii="宋体" w:hAnsi="宋体" w:cs="宋体"/>
                <w:szCs w:val="21"/>
              </w:rPr>
              <w:t xml:space="preserve"> </w:t>
            </w:r>
            <w:r>
              <w:rPr>
                <w:rFonts w:hint="eastAsia" w:ascii="宋体" w:hAnsi="宋体"/>
                <w:bCs/>
                <w:szCs w:val="21"/>
              </w:rPr>
              <w:t>版</w:t>
            </w:r>
            <w:r>
              <w:rPr>
                <w:rFonts w:hint="eastAsia" w:ascii="宋体" w:hAnsi="宋体" w:cs="宋体"/>
                <w:szCs w:val="21"/>
              </w:rPr>
              <w:t>，发布时间：</w:t>
            </w:r>
            <w:r>
              <w:rPr>
                <w:rFonts w:hint="eastAsia" w:ascii="宋体" w:hAnsi="宋体" w:cs="宋体"/>
                <w:szCs w:val="21"/>
                <w:lang w:val="en-US" w:eastAsia="zh-CN"/>
              </w:rPr>
              <w:t>2020.9.1</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20.9.1</w:t>
            </w:r>
            <w:r>
              <w:rPr>
                <w:rFonts w:ascii="宋体" w:hAnsi="宋体" w:cs="宋体"/>
                <w:szCs w:val="21"/>
              </w:rPr>
              <w:t xml:space="preserve"> </w:t>
            </w:r>
          </w:p>
          <w:p>
            <w:pPr>
              <w:spacing w:line="360" w:lineRule="auto"/>
              <w:rPr>
                <w:rFonts w:ascii="宋体" w:cs="宋体"/>
                <w:szCs w:val="21"/>
              </w:rPr>
            </w:pPr>
            <w:r>
              <w:rPr>
                <w:rFonts w:ascii="宋体" w:hAnsi="宋体" w:cs="宋体"/>
                <w:szCs w:val="21"/>
              </w:rPr>
              <w:t>2.</w:t>
            </w:r>
            <w:r>
              <w:rPr>
                <w:rFonts w:hint="eastAsia" w:ascii="宋体" w:hAnsi="宋体" w:cs="宋体"/>
                <w:szCs w:val="21"/>
              </w:rPr>
              <w:t>程序文件，包括标准要求的形成文件的信息。</w:t>
            </w:r>
          </w:p>
          <w:p>
            <w:pPr>
              <w:pStyle w:val="3"/>
              <w:tabs>
                <w:tab w:val="left" w:pos="3300"/>
                <w:tab w:val="left" w:pos="5160"/>
                <w:tab w:val="clear" w:pos="3510"/>
                <w:tab w:val="clear" w:pos="5580"/>
              </w:tabs>
              <w:spacing w:line="360" w:lineRule="auto"/>
              <w:rPr>
                <w:rFonts w:ascii="宋体" w:hAnsi="宋体"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管理制度汇编等。</w:t>
            </w:r>
          </w:p>
          <w:p>
            <w:pPr>
              <w:spacing w:line="360" w:lineRule="auto"/>
            </w:pPr>
            <w:r>
              <w:t>4.</w:t>
            </w:r>
            <w:r>
              <w:rPr>
                <w:rFonts w:hint="eastAsia"/>
              </w:rPr>
              <w:t>体系运行所需要的文件和记录</w:t>
            </w:r>
          </w:p>
          <w:p>
            <w:pPr>
              <w:spacing w:line="360" w:lineRule="auto"/>
              <w:ind w:firstLine="420" w:firstLineChars="200"/>
            </w:pPr>
            <w:r>
              <w:rPr>
                <w:rFonts w:hint="eastAsia"/>
              </w:rPr>
              <w:t>编制了《文件控制程序》，用于对管理体系文件，符合标准要求。</w:t>
            </w:r>
          </w:p>
          <w:p>
            <w:pPr>
              <w:spacing w:line="360" w:lineRule="auto"/>
              <w:ind w:firstLine="420" w:firstLineChars="200"/>
            </w:pPr>
            <w:r>
              <w:rPr>
                <w:rFonts w:hint="eastAsia"/>
              </w:rPr>
              <w:t>查办公室管理手册、管理制度等文件均保管良好，为有效版本，有受控标识。</w:t>
            </w:r>
          </w:p>
          <w:p>
            <w:pPr>
              <w:spacing w:line="360" w:lineRule="auto"/>
              <w:ind w:firstLine="420" w:firstLineChars="200"/>
            </w:pPr>
            <w:r>
              <w:rPr>
                <w:rFonts w:hint="eastAsia"/>
              </w:rPr>
              <w:t>行政部负责收集有关产品的国家标准、行业标准的最新版本，分发到相关部门使用。</w:t>
            </w:r>
          </w:p>
          <w:p>
            <w:pPr>
              <w:spacing w:line="360" w:lineRule="auto"/>
            </w:pPr>
            <w:r>
              <w:rPr>
                <w:rFonts w:hint="eastAsia"/>
              </w:rPr>
              <w:t>以上外来文件保管良好，均为有效版本。</w:t>
            </w:r>
          </w:p>
          <w:p>
            <w:pPr>
              <w:spacing w:line="360" w:lineRule="auto"/>
              <w:ind w:firstLine="420" w:firstLineChars="200"/>
            </w:pPr>
            <w:r>
              <w:rPr>
                <w:rFonts w:hint="eastAsia"/>
              </w:rPr>
              <w:t>查见《记录一览表》，内容包括：序号、记录名称、编号、保存期、使用部门等。</w:t>
            </w:r>
          </w:p>
          <w:p>
            <w:pPr>
              <w:tabs>
                <w:tab w:val="left" w:pos="540"/>
              </w:tabs>
              <w:spacing w:line="360" w:lineRule="auto"/>
              <w:rPr>
                <w:rFonts w:ascii="宋体" w:hAnsi="宋体"/>
                <w:b/>
                <w:color w:val="000000" w:themeColor="text1"/>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60" w:lineRule="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60" w:lineRule="auto"/>
              <w:rPr>
                <w:rFonts w:ascii="宋体" w:hAnsi="宋体"/>
                <w:b/>
                <w:color w:val="000000" w:themeColor="text1"/>
                <w:sz w:val="20"/>
                <w:szCs w:val="20"/>
              </w:rPr>
            </w:pPr>
            <w:r>
              <w:rPr>
                <w:rFonts w:hint="eastAsia" w:ascii="宋体" w:hAnsi="宋体"/>
                <w:szCs w:val="21"/>
              </w:rPr>
              <w:t>办公室、技术、</w:t>
            </w:r>
            <w:r>
              <w:rPr>
                <w:rFonts w:hint="eastAsia" w:ascii="宋体" w:hAnsi="宋体" w:eastAsia="宋体" w:cs="Times New Roman"/>
                <w:szCs w:val="21"/>
              </w:rPr>
              <w:t>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360" w:lineRule="auto"/>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台式计算机、笔记本、打印复印机、office办公软件等。</w:t>
            </w:r>
          </w:p>
          <w:p>
            <w:pPr>
              <w:spacing w:line="360" w:lineRule="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11"/>
              <w:spacing w:line="360" w:lineRule="auto"/>
              <w:rPr>
                <w:rFonts w:eastAsia="宋体" w:cs="宋体"/>
                <w:color w:val="auto"/>
                <w:kern w:val="2"/>
                <w:sz w:val="21"/>
                <w:szCs w:val="21"/>
              </w:rPr>
            </w:pPr>
            <w:r>
              <w:rPr>
                <w:rFonts w:hint="eastAsia" w:eastAsia="宋体" w:cs="宋体"/>
                <w:color w:val="auto"/>
                <w:kern w:val="2"/>
                <w:sz w:val="21"/>
                <w:szCs w:val="21"/>
              </w:rPr>
              <w:t xml:space="preserve">现场观察办公区环境卫生管理，工作场所布局合理，温湿度适宜，照明良好，满足办公需求。 </w:t>
            </w:r>
          </w:p>
          <w:p>
            <w:pPr>
              <w:pStyle w:val="11"/>
              <w:spacing w:line="360" w:lineRule="auto"/>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11"/>
              <w:spacing w:line="360" w:lineRule="auto"/>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11"/>
              <w:spacing w:line="360" w:lineRule="auto"/>
              <w:ind w:left="0" w:leftChars="0" w:firstLine="420" w:firstLineChars="200"/>
              <w:rPr>
                <w:rFonts w:ascii="宋体" w:hAnsi="宋体"/>
                <w:b/>
                <w:color w:val="000000" w:themeColor="text1"/>
                <w:sz w:val="20"/>
                <w:szCs w:val="20"/>
              </w:rPr>
            </w:pPr>
            <w:r>
              <w:rPr>
                <w:rFonts w:hint="eastAsia" w:eastAsia="宋体" w:cs="宋体"/>
                <w:color w:val="auto"/>
                <w:kern w:val="2"/>
                <w:sz w:val="21"/>
                <w:szCs w:val="21"/>
              </w:rPr>
              <w:t>公司现场观察，公司办公场所均环境良好，满足办公需要，无特殊环境要求。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360" w:lineRule="auto"/>
              <w:rPr>
                <w:rFonts w:hint="eastAsia" w:ascii="宋体" w:hAnsi="宋体" w:eastAsia="宋体"/>
                <w:b/>
                <w:color w:val="000000" w:themeColor="text1"/>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hint="eastAsia" w:ascii="宋体" w:hAnsi="宋体"/>
                <w:b w:val="0"/>
                <w:bCs/>
                <w:color w:val="000000" w:themeColor="text1"/>
                <w:sz w:val="20"/>
                <w:szCs w:val="20"/>
              </w:rPr>
            </w:pPr>
            <w:r>
              <w:rPr>
                <w:rFonts w:hint="eastAsia" w:ascii="宋体" w:hAnsi="宋体"/>
                <w:b/>
                <w:color w:val="000000" w:themeColor="text1"/>
                <w:sz w:val="20"/>
                <w:szCs w:val="20"/>
              </w:rPr>
              <w:t xml:space="preserve"> </w:t>
            </w:r>
            <w:r>
              <w:rPr>
                <w:rFonts w:hint="eastAsia" w:ascii="宋体" w:hAnsi="宋体"/>
                <w:b w:val="0"/>
                <w:bCs/>
                <w:color w:val="000000" w:themeColor="text1"/>
                <w:sz w:val="20"/>
                <w:szCs w:val="20"/>
              </w:rPr>
              <w:t>公司确定运行过程所需的知识。内部来源包括：公司信息（管理手册、程序文件、管理制度等）、专业技术知识等；外部来源包括：外来资料（如供应商、用户和竞争对手等利益相关者的动向报告、专家、顾客意见的采集、技术动态的跟踪）、市场信息等。</w:t>
            </w:r>
          </w:p>
          <w:p>
            <w:pPr>
              <w:spacing w:line="360" w:lineRule="auto"/>
              <w:rPr>
                <w:rFonts w:ascii="宋体" w:hAnsi="宋体"/>
                <w:b/>
                <w:color w:val="000000" w:themeColor="text1"/>
                <w:sz w:val="20"/>
                <w:szCs w:val="20"/>
              </w:rPr>
            </w:pPr>
            <w:r>
              <w:rPr>
                <w:rFonts w:hint="eastAsia" w:ascii="宋体" w:hAnsi="宋体"/>
                <w:b w:val="0"/>
                <w:bCs/>
                <w:color w:val="000000" w:themeColor="text1"/>
                <w:sz w:val="20"/>
                <w:szCs w:val="20"/>
              </w:rPr>
              <w:t>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ascii="宋体"/>
                <w:b/>
                <w:color w:val="000000"/>
                <w:sz w:val="20"/>
                <w:szCs w:val="20"/>
              </w:rPr>
            </w:pPr>
            <w:r>
              <w:rPr>
                <w:rFonts w:hint="eastAsia" w:ascii="宋体" w:hAnsi="宋体"/>
                <w:b/>
                <w:color w:val="000000" w:themeColor="text1"/>
                <w:sz w:val="20"/>
                <w:szCs w:val="20"/>
              </w:rPr>
              <w:t>环保设施：</w:t>
            </w:r>
          </w:p>
          <w:p>
            <w:pPr>
              <w:spacing w:line="360" w:lineRule="auto"/>
              <w:rPr>
                <w:rFonts w:ascii="宋体" w:hAnsi="宋体"/>
                <w:b/>
                <w:color w:val="000000" w:themeColor="text1"/>
                <w:sz w:val="20"/>
                <w:szCs w:val="20"/>
              </w:rPr>
            </w:pP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w:t>
            </w:r>
            <w:r>
              <w:rPr>
                <w:rFonts w:hint="eastAsia" w:ascii="宋体" w:hAnsi="宋体" w:cs="宋体"/>
                <w:szCs w:val="21"/>
              </w:rPr>
              <w:t>垃圾桶</w:t>
            </w:r>
            <w:r>
              <w:rPr>
                <w:rFonts w:hint="eastAsia" w:ascii="宋体" w:hAnsi="宋体" w:cs="宋体"/>
                <w:bCs/>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360" w:lineRule="auto"/>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360" w:lineRule="auto"/>
              <w:rPr>
                <w:rFonts w:ascii="宋体" w:hAnsi="宋体"/>
                <w:b/>
                <w:color w:val="000000" w:themeColor="text1"/>
                <w:sz w:val="20"/>
                <w:szCs w:val="20"/>
              </w:rPr>
            </w:pPr>
            <w:r>
              <w:rPr>
                <w:rFonts w:hint="eastAsia" w:ascii="宋体" w:hAnsi="宋体" w:cs="宋体"/>
                <w:bCs/>
                <w:szCs w:val="21"/>
              </w:rPr>
              <w:t>安全设施配置</w:t>
            </w:r>
            <w:r>
              <w:rPr>
                <w:rFonts w:ascii="宋体" w:hAnsi="宋体" w:cs="宋体"/>
                <w:bCs/>
                <w:szCs w:val="21"/>
              </w:rPr>
              <w:t>:</w:t>
            </w:r>
            <w:r>
              <w:rPr>
                <w:rFonts w:hint="eastAsia" w:ascii="宋体" w:hAnsi="宋体" w:cs="宋体"/>
                <w:bCs/>
                <w:szCs w:val="21"/>
              </w:rPr>
              <w:t>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60" w:lineRule="auto"/>
              <w:rPr>
                <w:b/>
                <w:color w:val="000000" w:themeColor="text1"/>
                <w:sz w:val="20"/>
                <w:szCs w:val="20"/>
              </w:rPr>
            </w:pPr>
            <w:r>
              <w:rPr>
                <w:rFonts w:hint="eastAsia"/>
                <w:b/>
                <w:color w:val="000000" w:themeColor="text1"/>
                <w:sz w:val="20"/>
                <w:szCs w:val="20"/>
              </w:rPr>
              <w:t>1. 针对方针的管理职责评审</w:t>
            </w:r>
          </w:p>
          <w:p>
            <w:pPr>
              <w:spacing w:line="360" w:lineRule="auto"/>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60" w:lineRule="auto"/>
              <w:ind w:left="1" w:leftChars="0"/>
              <w:rPr>
                <w:b/>
                <w:color w:val="000000" w:themeColor="text1"/>
                <w:sz w:val="20"/>
                <w:szCs w:val="20"/>
              </w:rPr>
            </w:pPr>
            <w:r>
              <w:rPr>
                <w:rFonts w:hint="eastAsia"/>
                <w:b w:val="0"/>
                <w:bCs/>
                <w:color w:val="000000" w:themeColor="text1"/>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360" w:lineRule="auto"/>
              <w:rPr>
                <w:rFonts w:hint="eastAsia" w:ascii="楷体_GB2312" w:eastAsia="楷体_GB2312"/>
                <w:b/>
                <w:color w:val="000000" w:themeColor="text1"/>
                <w:sz w:val="20"/>
                <w:szCs w:val="20"/>
                <w:lang w:eastAsia="zh-CN"/>
              </w:rPr>
            </w:pPr>
            <w:r>
              <w:rPr>
                <w:rFonts w:hint="eastAsia" w:ascii="楷体_GB2312" w:eastAsia="楷体_GB2312"/>
                <w:b/>
                <w:color w:val="000000" w:themeColor="text1"/>
                <w:sz w:val="20"/>
                <w:szCs w:val="20"/>
              </w:rPr>
              <w:t>内部沟通的情况：内部沟通方式：</w:t>
            </w:r>
            <w:r>
              <w:rPr>
                <w:rFonts w:hint="eastAsia" w:ascii="Times New Roman" w:hAnsi="Times New Roman" w:eastAsia="宋体" w:cs="Times New Roman"/>
                <w:kern w:val="2"/>
                <w:sz w:val="21"/>
                <w:szCs w:val="22"/>
                <w:lang w:val="en-US" w:eastAsia="zh-CN" w:bidi="ar-SA"/>
              </w:rPr>
              <w:t>培训、会议；</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Times New Roman" w:hAnsi="Times New Roman" w:eastAsia="宋体" w:cs="Times New Roman"/>
                <w:kern w:val="2"/>
                <w:sz w:val="21"/>
                <w:szCs w:val="22"/>
                <w:lang w:val="en-US" w:eastAsia="zh-CN" w:bidi="ar-SA"/>
              </w:rPr>
              <w:t>沟通畅通；</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ascii="Times New Roman" w:hAnsi="Times New Roman" w:eastAsia="宋体" w:cs="Times New Roman"/>
                <w:kern w:val="2"/>
                <w:sz w:val="21"/>
                <w:szCs w:val="22"/>
                <w:lang w:val="en-US" w:eastAsia="zh-CN" w:bidi="ar-SA"/>
              </w:rPr>
              <w:t>定期组织顾客满意度调查和走访。</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Times New Roman" w:hAnsi="Times New Roman" w:eastAsia="宋体" w:cs="Times New Roman"/>
                <w:kern w:val="2"/>
                <w:sz w:val="21"/>
                <w:szCs w:val="22"/>
                <w:lang w:val="en-US" w:eastAsia="zh-CN" w:bidi="ar-SA"/>
              </w:rPr>
              <w:t>参加相关部门组织的会议，接收相关部门下达的通知并在公司内部沟通传达。</w:t>
            </w:r>
          </w:p>
          <w:p>
            <w:pPr>
              <w:spacing w:line="360" w:lineRule="auto"/>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Times New Roman" w:hAnsi="Times New Roman" w:eastAsia="宋体" w:cs="Times New Roman"/>
                <w:kern w:val="2"/>
                <w:sz w:val="21"/>
                <w:szCs w:val="22"/>
                <w:lang w:val="en-US" w:eastAsia="zh-CN" w:bidi="ar-SA"/>
              </w:rPr>
              <w:t>对相关方进行了环保告知。</w:t>
            </w:r>
          </w:p>
          <w:p>
            <w:pPr>
              <w:spacing w:line="360" w:lineRule="auto"/>
              <w:rPr>
                <w:rFonts w:hint="eastAsia" w:ascii="Times New Roman" w:hAnsi="Times New Roman" w:eastAsia="宋体" w:cs="Times New Roman"/>
                <w:kern w:val="2"/>
                <w:sz w:val="21"/>
                <w:szCs w:val="22"/>
                <w:lang w:val="en-US" w:eastAsia="zh-CN" w:bidi="ar-SA"/>
              </w:rPr>
            </w:pPr>
            <w:r>
              <w:rPr>
                <w:rFonts w:hint="eastAsia" w:ascii="楷体_GB2312" w:eastAsia="楷体_GB2312"/>
                <w:b/>
                <w:color w:val="000000" w:themeColor="text1"/>
                <w:sz w:val="20"/>
                <w:szCs w:val="20"/>
              </w:rPr>
              <w:t>OHSMS事务代表协商和交流的情况（OHSMS填写）：</w:t>
            </w:r>
            <w:r>
              <w:rPr>
                <w:rFonts w:hint="eastAsia" w:ascii="Times New Roman" w:hAnsi="Times New Roman" w:eastAsia="宋体" w:cs="Times New Roman"/>
                <w:kern w:val="2"/>
                <w:sz w:val="21"/>
                <w:szCs w:val="22"/>
                <w:lang w:val="en-US" w:eastAsia="zh-CN" w:bidi="ar-SA"/>
              </w:rPr>
              <w:t>公司经选举确定告诉员工代表是</w:t>
            </w:r>
            <w:r>
              <w:rPr>
                <w:rFonts w:hint="eastAsia" w:cs="Times New Roman"/>
                <w:kern w:val="2"/>
                <w:sz w:val="21"/>
                <w:szCs w:val="22"/>
                <w:lang w:val="en-US" w:eastAsia="zh-CN" w:bidi="ar-SA"/>
              </w:rPr>
              <w:t>王元涛</w:t>
            </w:r>
            <w:r>
              <w:rPr>
                <w:rFonts w:hint="eastAsia" w:ascii="Times New Roman" w:hAnsi="Times New Roman" w:eastAsia="宋体" w:cs="Times New Roman"/>
                <w:kern w:val="2"/>
                <w:sz w:val="21"/>
                <w:szCs w:val="22"/>
                <w:lang w:val="en-US" w:eastAsia="zh-CN" w:bidi="ar-SA"/>
              </w:rPr>
              <w:t>，</w:t>
            </w:r>
          </w:p>
          <w:p>
            <w:pPr>
              <w:spacing w:line="360" w:lineRule="auto"/>
              <w:rPr>
                <w:rFonts w:ascii="楷体_GB2312" w:eastAsia="楷体_GB2312"/>
                <w:b/>
                <w:color w:val="000000" w:themeColor="text1"/>
                <w:szCs w:val="21"/>
              </w:rPr>
            </w:pPr>
            <w:r>
              <w:rPr>
                <w:rFonts w:hint="eastAsia" w:ascii="Times New Roman" w:hAnsi="Times New Roman" w:eastAsia="宋体" w:cs="Times New Roman"/>
                <w:kern w:val="2"/>
                <w:sz w:val="21"/>
                <w:szCs w:val="22"/>
                <w:lang w:val="en-US" w:eastAsia="zh-CN" w:bidi="ar-SA"/>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r>
              <w:rPr>
                <w:rFonts w:hint="eastAsia" w:ascii="Times New Roman" w:hAnsi="Times New Roman" w:eastAsia="宋体" w:cs="Times New Roman"/>
                <w:kern w:val="2"/>
                <w:sz w:val="21"/>
                <w:szCs w:val="22"/>
                <w:lang w:val="en-US" w:eastAsia="zh-CN" w:bidi="ar-SA"/>
              </w:rPr>
              <w:t>对相关方进行了安全告知。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3.  QMS 组织对重要过程实施控制的结果</w:t>
            </w:r>
          </w:p>
          <w:p>
            <w:pPr>
              <w:spacing w:line="360" w:lineRule="auto"/>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rPr>
                <w:color w:val="000000"/>
                <w:sz w:val="20"/>
                <w:szCs w:val="20"/>
              </w:rPr>
            </w:pPr>
            <w:r>
              <w:rPr>
                <w:rFonts w:hint="eastAsia"/>
                <w:color w:val="000000"/>
                <w:sz w:val="20"/>
                <w:szCs w:val="20"/>
              </w:rPr>
              <w:t>公司依据客户需求，下达</w:t>
            </w:r>
            <w:r>
              <w:rPr>
                <w:rFonts w:hint="eastAsia"/>
                <w:color w:val="000000"/>
                <w:sz w:val="20"/>
                <w:szCs w:val="20"/>
                <w:lang w:val="en-US" w:eastAsia="zh-CN"/>
              </w:rPr>
              <w:t>采购</w:t>
            </w:r>
            <w:r>
              <w:rPr>
                <w:rFonts w:hint="eastAsia"/>
                <w:color w:val="000000"/>
                <w:sz w:val="20"/>
                <w:szCs w:val="20"/>
              </w:rPr>
              <w:t>任务，接到定单后召开生产会议，进行</w:t>
            </w:r>
            <w:r>
              <w:rPr>
                <w:rFonts w:hint="eastAsia"/>
                <w:color w:val="000000"/>
                <w:sz w:val="20"/>
                <w:szCs w:val="20"/>
                <w:lang w:val="en-US" w:eastAsia="zh-CN"/>
              </w:rPr>
              <w:t>开发及技术服务</w:t>
            </w:r>
            <w:r>
              <w:rPr>
                <w:rFonts w:hint="eastAsia"/>
                <w:color w:val="000000"/>
                <w:sz w:val="20"/>
                <w:szCs w:val="20"/>
              </w:rPr>
              <w:t>、质量及管理工作协调。</w:t>
            </w:r>
          </w:p>
          <w:p>
            <w:pPr>
              <w:spacing w:line="360" w:lineRule="auto"/>
              <w:rPr>
                <w:color w:val="000000"/>
                <w:sz w:val="20"/>
                <w:szCs w:val="20"/>
              </w:rPr>
            </w:pPr>
            <w:r>
              <w:rPr>
                <w:rFonts w:hint="eastAsia"/>
                <w:color w:val="000000"/>
                <w:sz w:val="20"/>
                <w:szCs w:val="20"/>
              </w:rPr>
              <w:t>通过原材料</w:t>
            </w:r>
            <w:r>
              <w:rPr>
                <w:rFonts w:hint="eastAsia"/>
                <w:color w:val="000000"/>
                <w:sz w:val="20"/>
                <w:szCs w:val="20"/>
                <w:lang w:eastAsia="zh-CN"/>
              </w:rPr>
              <w:t>、</w:t>
            </w:r>
            <w:r>
              <w:rPr>
                <w:rFonts w:hint="eastAsia"/>
                <w:color w:val="000000"/>
                <w:sz w:val="20"/>
                <w:szCs w:val="20"/>
                <w:lang w:val="en-US" w:eastAsia="zh-CN"/>
              </w:rPr>
              <w:t>过程检验、</w:t>
            </w:r>
            <w:r>
              <w:rPr>
                <w:rFonts w:hint="eastAsia"/>
                <w:color w:val="000000"/>
                <w:sz w:val="20"/>
                <w:szCs w:val="20"/>
              </w:rPr>
              <w:t>客户确认等过程对产品质量、进度等进行监控。</w:t>
            </w:r>
          </w:p>
          <w:p>
            <w:pPr>
              <w:spacing w:line="360" w:lineRule="auto"/>
              <w:rPr>
                <w:color w:val="000000" w:themeColor="text1"/>
                <w:sz w:val="21"/>
                <w:szCs w:val="21"/>
              </w:rPr>
            </w:pPr>
            <w:r>
              <w:rPr>
                <w:rFonts w:hint="eastAsia"/>
                <w:color w:val="000000" w:themeColor="text1"/>
                <w:sz w:val="21"/>
                <w:szCs w:val="21"/>
              </w:rPr>
              <w:t>为</w:t>
            </w:r>
            <w:r>
              <w:rPr>
                <w:rFonts w:hint="eastAsia"/>
                <w:color w:val="000000" w:themeColor="text1"/>
                <w:sz w:val="21"/>
                <w:szCs w:val="21"/>
                <w:lang w:val="en-US" w:eastAsia="zh-CN"/>
              </w:rPr>
              <w:t>施工</w:t>
            </w:r>
            <w:r>
              <w:rPr>
                <w:rFonts w:hint="eastAsia"/>
                <w:color w:val="000000" w:themeColor="text1"/>
                <w:sz w:val="21"/>
                <w:szCs w:val="21"/>
              </w:rPr>
              <w:t>过程提供了适宜的设备及环境，配备了胜任的人员。</w:t>
            </w:r>
          </w:p>
          <w:p>
            <w:pPr>
              <w:spacing w:line="360" w:lineRule="auto"/>
              <w:rPr>
                <w:color w:val="000000" w:themeColor="text1"/>
                <w:sz w:val="21"/>
                <w:szCs w:val="21"/>
              </w:rPr>
            </w:pPr>
            <w:r>
              <w:rPr>
                <w:rFonts w:hint="eastAsia"/>
                <w:color w:val="000000" w:themeColor="text1"/>
                <w:sz w:val="21"/>
                <w:szCs w:val="21"/>
              </w:rPr>
              <w:t>公司按照制定的产品检验规程、作业指导书等文件对产品的生产和检验过程实施了过程控制。</w:t>
            </w:r>
          </w:p>
          <w:p>
            <w:pPr>
              <w:spacing w:line="360" w:lineRule="auto"/>
              <w:rPr>
                <w:b/>
                <w:color w:val="000000" w:themeColor="text1"/>
                <w:sz w:val="20"/>
                <w:szCs w:val="20"/>
              </w:rPr>
            </w:pPr>
            <w:r>
              <w:rPr>
                <w:rFonts w:hint="eastAsia"/>
                <w:color w:val="000000" w:themeColor="text1"/>
                <w:sz w:val="21"/>
                <w:szCs w:val="21"/>
              </w:rPr>
              <w:t>对检验过程进行了能力确认，能力符合要求。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napToGrid w:val="0"/>
              <w:spacing w:line="360" w:lineRule="auto"/>
              <w:jc w:val="left"/>
              <w:rPr>
                <w:rFonts w:hint="eastAsia" w:ascii="宋体" w:hAnsi="宋体" w:eastAsia="宋体" w:cs="宋体"/>
                <w:b w:val="0"/>
                <w:bCs w:val="0"/>
                <w:sz w:val="21"/>
                <w:szCs w:val="21"/>
              </w:rPr>
            </w:pPr>
            <w:r>
              <w:rPr>
                <w:rFonts w:hint="eastAsia" w:ascii="宋体" w:hAnsi="宋体" w:eastAsia="宋体" w:cs="宋体"/>
                <w:b w:val="0"/>
                <w:bCs w:val="0"/>
                <w:sz w:val="21"/>
                <w:szCs w:val="21"/>
              </w:rPr>
              <w:t>企业</w:t>
            </w:r>
            <w:r>
              <w:rPr>
                <w:rFonts w:hint="eastAsia" w:ascii="宋体" w:hAnsi="宋体" w:eastAsia="宋体" w:cs="宋体"/>
                <w:b w:val="0"/>
                <w:bCs w:val="0"/>
                <w:sz w:val="21"/>
                <w:szCs w:val="21"/>
                <w:lang w:val="en-US" w:eastAsia="zh-CN"/>
              </w:rPr>
              <w:t>产品</w:t>
            </w:r>
            <w:r>
              <w:rPr>
                <w:rFonts w:hint="eastAsia" w:ascii="宋体" w:hAnsi="宋体" w:eastAsia="宋体" w:cs="宋体"/>
                <w:b w:val="0"/>
                <w:bCs w:val="0"/>
                <w:sz w:val="21"/>
                <w:szCs w:val="21"/>
              </w:rPr>
              <w:t>参考</w:t>
            </w:r>
            <w:r>
              <w:rPr>
                <w:rFonts w:hint="eastAsia" w:ascii="宋体" w:hAnsi="宋体" w:eastAsia="宋体" w:cs="宋体"/>
                <w:b w:val="0"/>
                <w:bCs w:val="0"/>
                <w:sz w:val="21"/>
                <w:szCs w:val="21"/>
                <w:lang w:val="en-US" w:eastAsia="zh-CN"/>
              </w:rPr>
              <w:t>标准</w:t>
            </w:r>
            <w:r>
              <w:rPr>
                <w:rFonts w:hint="eastAsia" w:ascii="宋体" w:hAnsi="宋体" w:eastAsia="宋体" w:cs="宋体"/>
                <w:b w:val="0"/>
                <w:bCs w:val="0"/>
                <w:sz w:val="21"/>
                <w:szCs w:val="21"/>
              </w:rPr>
              <w:t>主要有：井控技术规定Q/SY TH0082-2000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井控设备现场安装及验收规程Q/SY TH0059-2000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井喷的预防及处理工艺规程Q/SY TH0058-2000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井喷压井操作规程Q/SY TH0080-2000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高压油气井钻井过程井控作业规程Q/SY TH0081-2000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钻井工程资料填写验收规程Q/SYTH0070-2000</w:t>
            </w:r>
          </w:p>
          <w:p>
            <w:pPr>
              <w:snapToGrid w:val="0"/>
              <w:spacing w:line="360" w:lineRule="auto"/>
              <w:jc w:val="left"/>
              <w:rPr>
                <w:b/>
                <w:color w:val="000000" w:themeColor="text1"/>
                <w:sz w:val="20"/>
                <w:szCs w:val="20"/>
              </w:rPr>
            </w:pPr>
            <w:r>
              <w:rPr>
                <w:rFonts w:hint="eastAsia" w:ascii="宋体" w:hAnsi="宋体" w:eastAsia="宋体" w:cs="宋体"/>
                <w:b w:val="0"/>
                <w:bCs w:val="0"/>
                <w:sz w:val="21"/>
                <w:szCs w:val="21"/>
              </w:rPr>
              <w:t>聚醚酯消泡剂HG/T 5259-2017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活性炭脱硫剂GB7701.1.97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采油用有机胺类水溶性脱硫剂技术规范Q/SY C 17007-2017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长庆油田生产测井及试井仪器刻度标定规范Q/SY CQ 2013-07</w:t>
            </w:r>
            <w:r>
              <w:rPr>
                <w:rFonts w:hint="eastAsia" w:ascii="宋体" w:hAnsi="宋体" w:eastAsia="宋体" w:cs="宋体"/>
                <w:b w:val="0"/>
                <w:bCs w:val="0"/>
                <w:sz w:val="21"/>
                <w:szCs w:val="21"/>
                <w:lang w:val="en-US" w:eastAsia="zh-CN"/>
              </w:rPr>
              <w:t>等。</w:t>
            </w:r>
            <w:r>
              <w:rPr>
                <w:rFonts w:hint="eastAsia" w:ascii="宋体" w:hAnsi="宋体" w:eastAsia="宋体" w:cs="宋体"/>
                <w:b w:val="0"/>
                <w:bCs w:val="0"/>
                <w:sz w:val="21"/>
                <w:szCs w:val="21"/>
              </w:rPr>
              <w:t>提供了产品</w:t>
            </w:r>
            <w:r>
              <w:rPr>
                <w:rFonts w:hint="eastAsia" w:ascii="宋体" w:hAnsi="宋体" w:eastAsia="宋体" w:cs="宋体"/>
                <w:b w:val="0"/>
                <w:bCs w:val="0"/>
                <w:sz w:val="21"/>
                <w:szCs w:val="21"/>
                <w:lang w:val="en-US" w:eastAsia="zh-CN"/>
              </w:rPr>
              <w:t>验收</w:t>
            </w:r>
            <w:r>
              <w:rPr>
                <w:rFonts w:hint="eastAsia" w:ascii="宋体" w:hAnsi="宋体" w:eastAsia="宋体" w:cs="宋体"/>
                <w:b w:val="0"/>
                <w:bCs w:val="0"/>
                <w:sz w:val="21"/>
                <w:szCs w:val="21"/>
              </w:rPr>
              <w:t>记录，</w:t>
            </w:r>
            <w:r>
              <w:rPr>
                <w:rFonts w:hint="eastAsia" w:ascii="宋体" w:hAnsi="宋体" w:eastAsia="宋体" w:cs="宋体"/>
                <w:b w:val="0"/>
                <w:bCs w:val="0"/>
                <w:sz w:val="21"/>
                <w:szCs w:val="21"/>
                <w:lang w:val="en-US" w:eastAsia="zh-CN"/>
              </w:rPr>
              <w:t>工程验收</w:t>
            </w:r>
            <w:r>
              <w:rPr>
                <w:rFonts w:hint="eastAsia" w:ascii="宋体" w:hAnsi="宋体" w:eastAsia="宋体" w:cs="宋体"/>
                <w:b w:val="0"/>
                <w:bCs w:val="0"/>
                <w:sz w:val="21"/>
                <w:szCs w:val="21"/>
              </w:rPr>
              <w:t>合格</w:t>
            </w:r>
            <w:r>
              <w:rPr>
                <w:rFonts w:hint="eastAsia" w:ascii="宋体" w:hAnsi="宋体" w:eastAsia="宋体" w:cs="宋体"/>
                <w:b w:val="0"/>
                <w:bCs w:val="0"/>
                <w:sz w:val="21"/>
                <w:szCs w:val="21"/>
                <w:lang w:val="en-US" w:eastAsia="zh-CN"/>
              </w:rPr>
              <w:t>记录</w:t>
            </w:r>
            <w:r>
              <w:rPr>
                <w:rFonts w:hint="eastAsia" w:ascii="宋体" w:hAnsi="宋体" w:eastAsia="宋体" w:cs="宋体"/>
                <w:b w:val="0"/>
                <w:bCs w:val="0"/>
                <w:sz w:val="21"/>
                <w:szCs w:val="21"/>
              </w:rPr>
              <w:t>，满足顾客要求。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60" w:lineRule="auto"/>
              <w:ind w:firstLine="201" w:firstLineChars="10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360" w:lineRule="auto"/>
              <w:rPr>
                <w:b/>
                <w:color w:val="000000" w:themeColor="text1"/>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360" w:lineRule="auto"/>
              <w:ind w:firstLine="421"/>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1、废水管控：</w:t>
            </w:r>
            <w:r>
              <w:rPr>
                <w:rFonts w:hint="eastAsia" w:asciiTheme="minorEastAsia" w:hAnsiTheme="minorEastAsia" w:eastAsiaTheme="minorEastAsia" w:cstheme="minorEastAsia"/>
                <w:sz w:val="21"/>
                <w:szCs w:val="21"/>
                <w:lang w:val="en-US" w:eastAsia="zh-CN"/>
              </w:rPr>
              <w:t>办公</w:t>
            </w:r>
            <w:r>
              <w:rPr>
                <w:rFonts w:hint="eastAsia" w:asciiTheme="minorEastAsia" w:hAnsiTheme="minorEastAsia" w:eastAsiaTheme="minorEastAsia" w:cstheme="minorEastAsia"/>
                <w:sz w:val="21"/>
                <w:szCs w:val="21"/>
              </w:rPr>
              <w:t>污水经城市污水管网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现场安装无工业废水。</w:t>
            </w:r>
          </w:p>
          <w:p>
            <w:pPr>
              <w:spacing w:line="360" w:lineRule="auto"/>
              <w:ind w:firstLine="421"/>
              <w:rPr>
                <w:rFonts w:ascii="宋体" w:hAnsi="宋体"/>
                <w:szCs w:val="22"/>
                <w:u w:val="none"/>
              </w:rPr>
            </w:pPr>
            <w:r>
              <w:rPr>
                <w:rFonts w:hint="eastAsia" w:asciiTheme="minorEastAsia" w:hAnsiTheme="minorEastAsia" w:eastAsiaTheme="minorEastAsia" w:cstheme="minorEastAsia"/>
                <w:sz w:val="21"/>
                <w:szCs w:val="21"/>
              </w:rPr>
              <w:t>2、废气管控：</w:t>
            </w:r>
            <w:r>
              <w:rPr>
                <w:rFonts w:hint="eastAsia" w:ascii="宋体" w:hAnsi="宋体"/>
                <w:szCs w:val="22"/>
                <w:u w:val="none"/>
              </w:rPr>
              <w:t>无废气产生。</w:t>
            </w:r>
          </w:p>
          <w:p>
            <w:pPr>
              <w:spacing w:line="360" w:lineRule="auto"/>
              <w:ind w:firstLine="421"/>
              <w:rPr>
                <w:rFonts w:ascii="宋体" w:hAnsi="宋体"/>
                <w:szCs w:val="22"/>
                <w:u w:val="none"/>
              </w:rPr>
            </w:pPr>
            <w:r>
              <w:rPr>
                <w:rFonts w:hint="eastAsia" w:ascii="宋体" w:hAnsi="宋体"/>
                <w:szCs w:val="22"/>
                <w:u w:val="none"/>
              </w:rPr>
              <w:t>3、噪声管控：办公及</w:t>
            </w:r>
            <w:r>
              <w:rPr>
                <w:rFonts w:hint="eastAsia" w:ascii="宋体" w:hAnsi="宋体"/>
                <w:szCs w:val="22"/>
                <w:u w:val="none"/>
                <w:lang w:val="en-US" w:eastAsia="zh-CN"/>
              </w:rPr>
              <w:t>施工</w:t>
            </w:r>
            <w:r>
              <w:rPr>
                <w:rFonts w:hint="eastAsia" w:ascii="宋体" w:hAnsi="宋体"/>
                <w:szCs w:val="22"/>
                <w:u w:val="none"/>
              </w:rPr>
              <w:t>过程基本无噪声排放。</w:t>
            </w:r>
          </w:p>
          <w:p>
            <w:pPr>
              <w:spacing w:line="360" w:lineRule="auto"/>
              <w:ind w:firstLine="421"/>
              <w:rPr>
                <w:rFonts w:hint="default" w:ascii="宋体" w:hAnsi="宋体" w:eastAsia="宋体"/>
                <w:szCs w:val="22"/>
                <w:u w:val="none"/>
                <w:lang w:val="en-US" w:eastAsia="zh-CN"/>
              </w:rPr>
            </w:pPr>
            <w:r>
              <w:rPr>
                <w:rFonts w:hint="eastAsia" w:ascii="宋体" w:hAnsi="宋体"/>
                <w:szCs w:val="22"/>
                <w:u w:val="none"/>
              </w:rPr>
              <w:t>4、固废管控：办公废旧硒鼓/墨盒，由供应商回收。生活垃圾由物业处理，公司缴纳处理费</w:t>
            </w:r>
            <w:r>
              <w:rPr>
                <w:rFonts w:hint="eastAsia" w:ascii="宋体" w:hAnsi="宋体"/>
                <w:szCs w:val="22"/>
                <w:u w:val="none"/>
                <w:lang w:val="en-US" w:eastAsia="zh-CN"/>
              </w:rPr>
              <w:t>。</w:t>
            </w:r>
          </w:p>
          <w:p>
            <w:pPr>
              <w:numPr>
                <w:ilvl w:val="0"/>
                <w:numId w:val="5"/>
              </w:numPr>
              <w:spacing w:line="360" w:lineRule="auto"/>
              <w:ind w:firstLine="421"/>
              <w:rPr>
                <w:rFonts w:ascii="宋体" w:hAnsi="宋体"/>
                <w:szCs w:val="22"/>
                <w:u w:val="none"/>
              </w:rPr>
            </w:pPr>
            <w:r>
              <w:rPr>
                <w:rFonts w:hint="eastAsia" w:ascii="宋体" w:hAnsi="宋体"/>
                <w:szCs w:val="22"/>
                <w:u w:val="none"/>
              </w:rPr>
              <w:t>能源资源管控：注意节水、节电，人走关闭设备和照明开关，现场未发现有漏水和浪费电能的现象。</w:t>
            </w:r>
          </w:p>
          <w:p>
            <w:pPr>
              <w:spacing w:line="360" w:lineRule="auto"/>
              <w:ind w:firstLine="421"/>
              <w:rPr>
                <w:rFonts w:ascii="宋体" w:hAnsi="宋体"/>
                <w:szCs w:val="22"/>
                <w:u w:val="none"/>
              </w:rPr>
            </w:pPr>
            <w:r>
              <w:rPr>
                <w:rFonts w:hint="eastAsia" w:ascii="宋体" w:hAnsi="宋体"/>
                <w:szCs w:val="22"/>
                <w:u w:val="none"/>
              </w:rPr>
              <w:t>6、产品生命周期的环境管控：公司采购</w:t>
            </w:r>
            <w:r>
              <w:rPr>
                <w:rFonts w:hint="eastAsia" w:ascii="宋体" w:hAnsi="宋体"/>
                <w:szCs w:val="22"/>
                <w:u w:val="none"/>
                <w:lang w:val="en-US" w:eastAsia="zh-CN"/>
              </w:rPr>
              <w:t>销售安装</w:t>
            </w:r>
            <w:r>
              <w:rPr>
                <w:rFonts w:hint="eastAsia" w:ascii="宋体" w:hAnsi="宋体"/>
                <w:szCs w:val="22"/>
                <w:u w:val="none"/>
              </w:rPr>
              <w:t>产品时已考虑了产品的环保性，严格按照环保等管理制度实施，控制好辅助材料的用量，避免浪费，生命周期终了时废旧元器件还可以回收再利用。</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潜在火灾管控：</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公司办公区域</w:t>
            </w:r>
            <w:r>
              <w:rPr>
                <w:rFonts w:hint="eastAsia" w:ascii="宋体" w:hAnsi="宋体" w:eastAsia="宋体" w:cs="宋体"/>
                <w:sz w:val="21"/>
                <w:szCs w:val="21"/>
                <w:lang w:val="en-US" w:eastAsia="zh-CN"/>
              </w:rPr>
              <w:t>施工现场</w:t>
            </w:r>
            <w:r>
              <w:rPr>
                <w:rFonts w:hint="eastAsia" w:ascii="宋体" w:hAnsi="宋体" w:eastAsia="宋体" w:cs="宋体"/>
                <w:sz w:val="21"/>
                <w:szCs w:val="21"/>
              </w:rPr>
              <w:t>配备了灭火器、消防栓，均符合要求。</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安全防护：</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rPr>
              <w:t>公司给员工发放口罩、</w:t>
            </w:r>
            <w:r>
              <w:rPr>
                <w:rFonts w:hint="eastAsia" w:ascii="宋体" w:hAnsi="宋体" w:eastAsia="宋体" w:cs="宋体"/>
                <w:sz w:val="21"/>
                <w:szCs w:val="21"/>
                <w:lang w:val="en-US" w:eastAsia="zh-CN"/>
              </w:rPr>
              <w:t>洗手液</w:t>
            </w:r>
            <w:r>
              <w:rPr>
                <w:rFonts w:hint="eastAsia" w:ascii="宋体" w:hAnsi="宋体" w:eastAsia="宋体" w:cs="宋体"/>
                <w:sz w:val="21"/>
                <w:szCs w:val="21"/>
              </w:rPr>
              <w:t>、工作服等劳保用品。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能提供防止员工意外伤害加重的急救药品如创可贴、杀菌药水等。</w:t>
            </w:r>
          </w:p>
          <w:p>
            <w:pPr>
              <w:spacing w:line="360" w:lineRule="auto"/>
              <w:ind w:firstLine="421"/>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为主要长期员工上社保，查见了交款证明。</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rPr>
                <w:rFonts w:hint="eastAsia" w:ascii="Times New Roman" w:hAnsi="Times New Roman" w:eastAsia="宋体" w:cs="Times New Roman"/>
                <w:b/>
                <w:color w:val="000000" w:themeColor="text1"/>
                <w:sz w:val="20"/>
                <w:szCs w:val="20"/>
              </w:rPr>
            </w:pPr>
            <w:r>
              <w:rPr>
                <w:rFonts w:hint="eastAsia" w:ascii="Times New Roman" w:hAnsi="Times New Roman" w:eastAsia="宋体" w:cs="Times New Roman"/>
                <w:b/>
                <w:color w:val="000000" w:themeColor="text1"/>
                <w:sz w:val="20"/>
                <w:szCs w:val="20"/>
              </w:rPr>
              <w:t>8. OHSMS组织对不可接受风险实施控制的结果</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1、潜在火灾管控：</w:t>
            </w:r>
            <w:r>
              <w:rPr>
                <w:rFonts w:hint="eastAsia" w:ascii="宋体" w:hAnsi="宋体" w:eastAsia="宋体" w:cs="宋体"/>
                <w:sz w:val="21"/>
                <w:szCs w:val="21"/>
              </w:rPr>
              <w:t>公司办公区域配备了灭火器、消防栓，均符合要求。</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2、安全防护：现场电线布线合理，漏电保护器状态良好。</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3、为主要长期员工上社保、工伤保险，安排健康体检。</w:t>
            </w:r>
          </w:p>
          <w:p>
            <w:pPr>
              <w:spacing w:line="360" w:lineRule="auto"/>
              <w:ind w:firstLine="200" w:firstLineChars="100"/>
              <w:rPr>
                <w:rFonts w:hint="eastAsia" w:ascii="Times New Roman" w:hAnsi="Times New Roman" w:eastAsia="宋体" w:cs="Times New Roman"/>
                <w:b w:val="0"/>
                <w:bCs/>
                <w:color w:val="000000" w:themeColor="text1"/>
                <w:sz w:val="20"/>
                <w:szCs w:val="20"/>
              </w:rPr>
            </w:pPr>
            <w:r>
              <w:rPr>
                <w:rFonts w:hint="eastAsia" w:ascii="Times New Roman" w:hAnsi="Times New Roman" w:eastAsia="宋体" w:cs="Times New Roman"/>
                <w:b w:val="0"/>
                <w:bCs/>
                <w:color w:val="000000" w:themeColor="text1"/>
                <w:sz w:val="20"/>
                <w:szCs w:val="20"/>
              </w:rPr>
              <w:t>4、为环境和职业健康安全管理体系运行提供了财务支持。</w:t>
            </w:r>
          </w:p>
          <w:p>
            <w:pPr>
              <w:spacing w:line="360" w:lineRule="auto"/>
              <w:ind w:firstLine="200" w:firstLineChars="100"/>
              <w:rPr>
                <w:b/>
                <w:color w:val="000000" w:themeColor="text1"/>
                <w:sz w:val="20"/>
                <w:szCs w:val="20"/>
              </w:rPr>
            </w:pPr>
            <w:r>
              <w:rPr>
                <w:rFonts w:hint="eastAsia" w:ascii="Times New Roman" w:hAnsi="Times New Roman" w:eastAsia="宋体" w:cs="Times New Roman"/>
                <w:b w:val="0"/>
                <w:bCs/>
                <w:color w:val="000000" w:themeColor="text1"/>
                <w:sz w:val="20"/>
                <w:szCs w:val="20"/>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360" w:lineRule="auto"/>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360" w:lineRule="auto"/>
              <w:ind w:firstLine="210" w:firstLineChars="100"/>
              <w:rPr>
                <w:b/>
                <w:color w:val="000000" w:themeColor="text1"/>
                <w:spacing w:val="-4"/>
                <w:sz w:val="20"/>
                <w:szCs w:val="20"/>
              </w:rPr>
            </w:pPr>
            <w:r>
              <w:rPr>
                <w:rFonts w:hint="eastAsia" w:ascii="宋体" w:hAnsi="宋体" w:cs="宋体"/>
                <w:szCs w:val="21"/>
                <w:lang w:val="en-GB"/>
              </w:rPr>
              <w:t>制定了《应急准备和响应控制程序》，编制了火灾、触电应急预案，包含有事件级别及不同级别事件的处理程序、事件处理组织机构及职责分工、通用及特殊处理程序、各岗位要求等。具有可操作性。</w:t>
            </w: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eastAsia" w:ascii="Times New Roman" w:hAnsi="Times New Roman" w:eastAsia="宋体" w:cs="Times New Roman"/>
                <w:b/>
                <w:color w:val="000000" w:themeColor="text1"/>
                <w:sz w:val="20"/>
                <w:szCs w:val="20"/>
              </w:rPr>
            </w:pPr>
          </w:p>
          <w:p>
            <w:pPr>
              <w:spacing w:line="240" w:lineRule="exact"/>
              <w:rPr>
                <w:b/>
                <w:color w:val="000000" w:themeColor="text1"/>
                <w:sz w:val="20"/>
                <w:szCs w:val="20"/>
              </w:rPr>
            </w:pPr>
            <w:r>
              <w:rPr>
                <w:rFonts w:hint="eastAsia" w:ascii="Times New Roman" w:hAnsi="Times New Roman" w:eastAsia="宋体" w:cs="Times New Roman"/>
                <w:b/>
                <w:color w:val="000000" w:themeColor="text1"/>
                <w:sz w:val="20"/>
                <w:szCs w:val="20"/>
              </w:rPr>
              <w:t>无</w:t>
            </w:r>
            <w:r>
              <w:rPr>
                <w:rFonts w:hint="eastAsia" w:ascii="Times New Roman" w:hAnsi="Times New Roman" w:eastAsia="宋体" w:cs="Times New Roman"/>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360" w:lineRule="auto"/>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360" w:lineRule="auto"/>
              <w:ind w:firstLine="100" w:firstLineChars="50"/>
              <w:rPr>
                <w:b/>
                <w:color w:val="000000" w:themeColor="text1"/>
                <w:sz w:val="20"/>
                <w:szCs w:val="20"/>
              </w:rPr>
            </w:pPr>
            <w:r>
              <w:rPr>
                <w:rFonts w:hint="eastAsia"/>
                <w:b w:val="0"/>
                <w:bCs/>
                <w:color w:val="000000" w:themeColor="text1"/>
                <w:sz w:val="20"/>
                <w:szCs w:val="20"/>
              </w:rPr>
              <w:t>质量/环境/职业健康安全目标指标</w:t>
            </w:r>
            <w:r>
              <w:rPr>
                <w:rFonts w:hint="eastAsia" w:ascii="宋体" w:hAnsi="宋体" w:cs="宋体"/>
                <w:szCs w:val="21"/>
                <w:lang w:val="en-US" w:eastAsia="zh-CN"/>
              </w:rPr>
              <w:t>2021年1</w:t>
            </w:r>
            <w:r>
              <w:rPr>
                <w:rFonts w:hint="eastAsia" w:ascii="宋体" w:hAnsi="宋体" w:cs="宋体"/>
                <w:szCs w:val="21"/>
              </w:rPr>
              <w:t>月</w:t>
            </w:r>
            <w:r>
              <w:rPr>
                <w:rFonts w:hint="eastAsia" w:ascii="宋体" w:hAnsi="宋体" w:cs="宋体"/>
                <w:szCs w:val="21"/>
                <w:lang w:val="en-US" w:eastAsia="zh-CN"/>
              </w:rPr>
              <w:t>4</w:t>
            </w:r>
            <w:r>
              <w:rPr>
                <w:rFonts w:hint="eastAsia" w:ascii="宋体" w:hAnsi="宋体" w:cs="宋体"/>
                <w:szCs w:val="21"/>
              </w:rPr>
              <w:t>日</w:t>
            </w:r>
            <w:r>
              <w:rPr>
                <w:rFonts w:hint="eastAsia"/>
                <w:b w:val="0"/>
                <w:bCs/>
                <w:color w:val="000000" w:themeColor="text1"/>
                <w:sz w:val="20"/>
                <w:szCs w:val="20"/>
              </w:rPr>
              <w:t>进行了检查，全部完成。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numPr>
                <w:ilvl w:val="0"/>
                <w:numId w:val="4"/>
              </w:numPr>
              <w:spacing w:line="360" w:lineRule="auto"/>
              <w:ind w:left="0" w:leftChars="0" w:firstLine="0" w:firstLineChars="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360" w:lineRule="auto"/>
              <w:ind w:leftChars="0"/>
              <w:rPr>
                <w:b/>
                <w:color w:val="000000"/>
                <w:sz w:val="20"/>
                <w:szCs w:val="20"/>
              </w:rPr>
            </w:pPr>
            <w:r>
              <w:rPr>
                <w:rFonts w:hint="eastAsia"/>
                <w:szCs w:val="21"/>
                <w:lang w:val="zh-CN"/>
              </w:rPr>
              <w:t>公司通过电话，走访等形式，接受顾客反馈，了解顾客满意度信息，发放调查表对顾客满意度进行定量测量，提供“顾客满意程度调查表”顾客较满意。</w:t>
            </w:r>
            <w:r>
              <w:rPr>
                <w:b/>
                <w:color w:val="000000"/>
                <w:sz w:val="20"/>
                <w:szCs w:val="20"/>
              </w:rPr>
              <w:t xml:space="preserve"> </w:t>
            </w:r>
          </w:p>
          <w:p>
            <w:pPr>
              <w:spacing w:line="240" w:lineRule="exact"/>
              <w:ind w:left="100" w:leftChars="0"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了解内审的策划;</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w:t>
            </w:r>
            <w:r>
              <w:rPr>
                <w:rFonts w:hint="eastAsia" w:ascii="宋体" w:hAnsi="宋体" w:eastAsia="宋体" w:cs="宋体"/>
                <w:color w:val="000000" w:themeColor="text1"/>
                <w:sz w:val="21"/>
                <w:szCs w:val="21"/>
                <w:u w:val="single"/>
              </w:rPr>
              <w:t>每年一次，本次2020</w:t>
            </w:r>
            <w:r>
              <w:rPr>
                <w:rFonts w:hint="eastAsia" w:ascii="宋体" w:hAnsi="宋体" w:eastAsia="宋体" w:cs="宋体"/>
                <w:color w:val="000000" w:themeColor="text1"/>
                <w:sz w:val="21"/>
                <w:szCs w:val="21"/>
                <w:u w:val="single"/>
                <w:lang w:val="en-US" w:eastAsia="zh-CN"/>
              </w:rPr>
              <w:t>年</w:t>
            </w:r>
            <w:r>
              <w:rPr>
                <w:rFonts w:hint="eastAsia" w:ascii="宋体" w:hAnsi="宋体" w:eastAsia="宋体" w:cs="宋体"/>
                <w:color w:val="000000" w:themeColor="text1"/>
                <w:sz w:val="21"/>
                <w:szCs w:val="21"/>
                <w:u w:val="single"/>
              </w:rPr>
              <w:t>12</w:t>
            </w:r>
            <w:r>
              <w:rPr>
                <w:rFonts w:hint="eastAsia" w:ascii="宋体" w:hAnsi="宋体" w:eastAsia="宋体" w:cs="宋体"/>
                <w:color w:val="000000" w:themeColor="text1"/>
                <w:sz w:val="21"/>
                <w:szCs w:val="21"/>
                <w:u w:val="single"/>
                <w:lang w:val="en-US" w:eastAsia="zh-CN"/>
              </w:rPr>
              <w:t>月</w:t>
            </w:r>
            <w:r>
              <w:rPr>
                <w:rFonts w:hint="eastAsia" w:ascii="宋体" w:hAnsi="宋体" w:eastAsia="宋体" w:cs="宋体"/>
                <w:color w:val="000000" w:themeColor="text1"/>
                <w:sz w:val="21"/>
                <w:szCs w:val="21"/>
                <w:u w:val="single"/>
              </w:rPr>
              <w:t>8-9</w:t>
            </w:r>
            <w:r>
              <w:rPr>
                <w:rFonts w:hint="eastAsia" w:ascii="宋体" w:hAnsi="宋体" w:eastAsia="宋体" w:cs="宋体"/>
                <w:color w:val="000000" w:themeColor="text1"/>
                <w:sz w:val="21"/>
                <w:szCs w:val="21"/>
                <w:u w:val="single"/>
                <w:lang w:val="en-US" w:eastAsia="zh-CN"/>
              </w:rPr>
              <w:t>日</w:t>
            </w:r>
            <w:r>
              <w:rPr>
                <w:rFonts w:hint="eastAsia" w:ascii="宋体" w:hAnsi="宋体" w:eastAsia="宋体" w:cs="宋体"/>
                <w:color w:val="000000" w:themeColor="text1"/>
                <w:sz w:val="21"/>
                <w:szCs w:val="21"/>
                <w:u w:val="single"/>
              </w:rPr>
              <w:t>内审。</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了解内审是否覆盖了管理体系范围内的活动及标准的要求; </w:t>
            </w:r>
          </w:p>
          <w:p>
            <w:pPr>
              <w:spacing w:line="360" w:lineRule="auto"/>
              <w:ind w:firstLine="210" w:firstLineChars="100"/>
              <w:rPr>
                <w:rFonts w:hint="eastAsia" w:ascii="宋体" w:hAnsi="宋体" w:eastAsia="宋体" w:cs="宋体"/>
                <w:color w:val="000000" w:themeColor="text1"/>
                <w:sz w:val="21"/>
                <w:szCs w:val="21"/>
                <w:u w:val="single"/>
              </w:rPr>
            </w:pPr>
            <w:r>
              <w:rPr>
                <w:rFonts w:hint="eastAsia" w:ascii="宋体" w:hAnsi="宋体" w:eastAsia="宋体" w:cs="宋体"/>
                <w:color w:val="000000" w:themeColor="text1"/>
                <w:sz w:val="21"/>
                <w:szCs w:val="21"/>
                <w:u w:val="single"/>
              </w:rPr>
              <w:t>覆盖。</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了解内审结论是什么？</w:t>
            </w:r>
          </w:p>
          <w:p>
            <w:pPr>
              <w:spacing w:line="240" w:lineRule="exact"/>
              <w:rPr>
                <w:b/>
                <w:color w:val="000000" w:themeColor="text1"/>
                <w:spacing w:val="-8"/>
                <w:sz w:val="20"/>
                <w:szCs w:val="20"/>
              </w:rPr>
            </w:pPr>
            <w:r>
              <w:rPr>
                <w:rFonts w:hint="eastAsia" w:ascii="宋体" w:hAnsi="宋体" w:eastAsia="宋体" w:cs="宋体"/>
                <w:color w:val="000000" w:themeColor="text1"/>
                <w:sz w:val="21"/>
                <w:szCs w:val="21"/>
                <w:u w:val="single"/>
              </w:rPr>
              <w:t>公司的管理体系符合标准要求，体系运行有效。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rPr>
                <w:b/>
                <w:color w:val="000000" w:themeColor="text1"/>
                <w:sz w:val="21"/>
                <w:szCs w:val="21"/>
              </w:rPr>
            </w:pPr>
            <w:r>
              <w:rPr>
                <w:rFonts w:hint="eastAsia"/>
                <w:b/>
                <w:color w:val="000000" w:themeColor="text1"/>
                <w:sz w:val="21"/>
                <w:szCs w:val="21"/>
              </w:rPr>
              <w:t xml:space="preserve">了解管理评审的策划; </w:t>
            </w:r>
          </w:p>
          <w:p>
            <w:pPr>
              <w:spacing w:line="360" w:lineRule="auto"/>
              <w:ind w:firstLine="210" w:firstLineChars="100"/>
              <w:rPr>
                <w:b/>
                <w:color w:val="000000" w:themeColor="text1"/>
                <w:sz w:val="21"/>
                <w:szCs w:val="21"/>
              </w:rPr>
            </w:pPr>
            <w:r>
              <w:rPr>
                <w:rFonts w:hint="eastAsia" w:asciiTheme="minorEastAsia" w:hAnsiTheme="minorEastAsia" w:eastAsiaTheme="minorEastAsia"/>
                <w:color w:val="000000" w:themeColor="text1"/>
                <w:sz w:val="21"/>
                <w:szCs w:val="21"/>
                <w:u w:val="single"/>
              </w:rPr>
              <w:t>每年一次，</w:t>
            </w:r>
            <w:r>
              <w:rPr>
                <w:rFonts w:hint="eastAsia" w:ascii="宋体" w:hAnsi="宋体" w:cs="宋体"/>
                <w:szCs w:val="21"/>
                <w:u w:val="single"/>
              </w:rPr>
              <w:t>20</w:t>
            </w:r>
            <w:r>
              <w:rPr>
                <w:rFonts w:ascii="宋体" w:hAnsi="宋体" w:cs="宋体"/>
                <w:szCs w:val="21"/>
                <w:u w:val="single"/>
              </w:rPr>
              <w:t>20</w:t>
            </w:r>
            <w:r>
              <w:rPr>
                <w:rFonts w:hint="eastAsia" w:ascii="宋体" w:hAnsi="宋体" w:cs="宋体"/>
                <w:szCs w:val="21"/>
                <w:u w:val="single"/>
              </w:rPr>
              <w:t>年</w:t>
            </w:r>
            <w:r>
              <w:rPr>
                <w:rFonts w:hint="eastAsia" w:ascii="宋体" w:hAnsi="宋体" w:cs="宋体"/>
                <w:szCs w:val="21"/>
                <w:u w:val="single"/>
                <w:lang w:val="en-US" w:eastAsia="zh-CN"/>
              </w:rPr>
              <w:t>12</w:t>
            </w:r>
            <w:r>
              <w:rPr>
                <w:rFonts w:hint="eastAsia" w:ascii="宋体" w:hAnsi="宋体" w:cs="宋体"/>
                <w:szCs w:val="21"/>
                <w:u w:val="single"/>
              </w:rPr>
              <w:t>月</w:t>
            </w:r>
            <w:r>
              <w:rPr>
                <w:rFonts w:hint="eastAsia" w:ascii="宋体" w:hAnsi="宋体" w:cs="宋体"/>
                <w:szCs w:val="21"/>
                <w:u w:val="single"/>
                <w:lang w:val="en-US" w:eastAsia="zh-CN"/>
              </w:rPr>
              <w:t>30</w:t>
            </w:r>
            <w:r>
              <w:rPr>
                <w:rFonts w:hint="eastAsia" w:ascii="宋体" w:hAnsi="宋体" w:cs="宋体"/>
                <w:szCs w:val="21"/>
                <w:u w:val="single"/>
              </w:rPr>
              <w:t>日进行</w:t>
            </w:r>
            <w:r>
              <w:rPr>
                <w:rFonts w:hint="eastAsia" w:asciiTheme="minorEastAsia" w:hAnsiTheme="minorEastAsia" w:eastAsiaTheme="minorEastAsia"/>
                <w:color w:val="000000" w:themeColor="text1"/>
                <w:sz w:val="21"/>
                <w:szCs w:val="21"/>
                <w:u w:val="single"/>
              </w:rPr>
              <w:t>管理评审。</w:t>
            </w:r>
          </w:p>
          <w:p>
            <w:pPr>
              <w:spacing w:line="360" w:lineRule="auto"/>
              <w:rPr>
                <w:b/>
                <w:color w:val="000000" w:themeColor="text1"/>
                <w:sz w:val="21"/>
                <w:szCs w:val="21"/>
              </w:rPr>
            </w:pPr>
            <w:r>
              <w:rPr>
                <w:rFonts w:hint="eastAsia"/>
                <w:b/>
                <w:color w:val="000000" w:themeColor="text1"/>
                <w:sz w:val="21"/>
                <w:szCs w:val="21"/>
              </w:rPr>
              <w:t xml:space="preserve">了解管理评审输入是否充分; </w:t>
            </w:r>
          </w:p>
          <w:p>
            <w:pPr>
              <w:spacing w:line="360" w:lineRule="auto"/>
              <w:ind w:firstLine="210" w:firstLineChars="100"/>
              <w:rPr>
                <w:rFonts w:asciiTheme="minorEastAsia" w:hAnsiTheme="minorEastAsia" w:eastAsiaTheme="minorEastAsia"/>
                <w:color w:val="000000" w:themeColor="text1"/>
                <w:sz w:val="21"/>
                <w:szCs w:val="21"/>
                <w:u w:val="single"/>
              </w:rPr>
            </w:pPr>
            <w:r>
              <w:rPr>
                <w:rFonts w:hint="eastAsia" w:asciiTheme="minorEastAsia" w:hAnsiTheme="minorEastAsia" w:eastAsiaTheme="minorEastAsia"/>
                <w:color w:val="000000" w:themeColor="text1"/>
                <w:sz w:val="21"/>
                <w:szCs w:val="21"/>
                <w:u w:val="single"/>
              </w:rPr>
              <w:t>输入基本充分。</w:t>
            </w:r>
          </w:p>
          <w:p>
            <w:pPr>
              <w:spacing w:line="360" w:lineRule="auto"/>
              <w:rPr>
                <w:b/>
                <w:color w:val="000000" w:themeColor="text1"/>
                <w:sz w:val="21"/>
                <w:szCs w:val="21"/>
              </w:rPr>
            </w:pPr>
            <w:r>
              <w:rPr>
                <w:rFonts w:hint="eastAsia"/>
                <w:b/>
                <w:color w:val="000000" w:themeColor="text1"/>
                <w:sz w:val="21"/>
                <w:szCs w:val="21"/>
              </w:rPr>
              <w:t xml:space="preserve">了解管理评审结论; </w:t>
            </w:r>
          </w:p>
          <w:p>
            <w:pPr>
              <w:spacing w:line="240" w:lineRule="exact"/>
              <w:rPr>
                <w:b/>
                <w:color w:val="000000" w:themeColor="text1"/>
                <w:sz w:val="20"/>
                <w:szCs w:val="20"/>
              </w:rPr>
            </w:pPr>
            <w:r>
              <w:rPr>
                <w:rFonts w:hint="eastAsia" w:ascii="宋体" w:hAnsi="宋体"/>
                <w:color w:val="000000" w:themeColor="text1"/>
                <w:sz w:val="21"/>
                <w:szCs w:val="21"/>
                <w:u w:val="single"/>
              </w:rPr>
              <w:t>　公司的管理体系是适宜的、充分的和有效的。</w:t>
            </w:r>
            <w:r>
              <w:rPr>
                <w:rFonts w:hint="eastAsia" w:ascii="宋体" w:hAnsi="宋体"/>
                <w:color w:val="000000" w:themeColor="text1"/>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pStyle w:val="9"/>
              <w:numPr>
                <w:ilvl w:val="0"/>
                <w:numId w:val="6"/>
              </w:numPr>
              <w:pBdr>
                <w:bottom w:val="none" w:color="auto" w:sz="0" w:space="0"/>
              </w:pBdr>
              <w:tabs>
                <w:tab w:val="center" w:pos="5737"/>
                <w:tab w:val="clear" w:pos="4153"/>
              </w:tabs>
              <w:spacing w:line="360" w:lineRule="auto"/>
              <w:jc w:val="lef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pStyle w:val="9"/>
              <w:numPr>
                <w:ilvl w:val="0"/>
                <w:numId w:val="0"/>
              </w:numPr>
              <w:pBdr>
                <w:bottom w:val="none" w:color="auto" w:sz="0" w:space="0"/>
              </w:pBdr>
              <w:tabs>
                <w:tab w:val="center" w:pos="5737"/>
                <w:tab w:val="clear" w:pos="4153"/>
              </w:tabs>
              <w:spacing w:line="360" w:lineRule="auto"/>
              <w:ind w:left="0" w:leftChars="0" w:firstLine="0" w:firstLineChars="0"/>
              <w:jc w:val="left"/>
              <w:rPr>
                <w:b/>
                <w:color w:val="000000" w:themeColor="text1"/>
                <w:sz w:val="20"/>
                <w:szCs w:val="20"/>
              </w:rPr>
            </w:pPr>
            <w:r>
              <w:rPr>
                <w:rFonts w:hint="eastAsia"/>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360" w:lineRule="auto"/>
              <w:rPr>
                <w:b/>
                <w:color w:val="000000" w:themeColor="text1"/>
                <w:sz w:val="20"/>
                <w:szCs w:val="20"/>
              </w:rPr>
            </w:pPr>
            <w:r>
              <w:rPr>
                <w:rFonts w:hint="eastAsia"/>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60" w:lineRule="auto"/>
              <w:rPr>
                <w:b/>
                <w:color w:val="000000" w:themeColor="text1"/>
                <w:sz w:val="20"/>
                <w:szCs w:val="20"/>
              </w:rPr>
            </w:pPr>
            <w:r>
              <w:rPr>
                <w:rFonts w:hint="eastAsia" w:ascii="宋体" w:hAnsi="宋体" w:cs="宋体"/>
                <w:szCs w:val="21"/>
                <w:u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60" w:lineRule="auto"/>
              <w:rPr>
                <w:b/>
                <w:color w:val="000000" w:themeColor="text1"/>
                <w:sz w:val="20"/>
                <w:szCs w:val="20"/>
              </w:rPr>
            </w:pPr>
            <w:r>
              <w:rPr>
                <w:rFonts w:hint="eastAsia"/>
                <w:b/>
                <w:color w:val="000000" w:themeColor="text1"/>
                <w:sz w:val="20"/>
                <w:szCs w:val="20"/>
              </w:rPr>
              <w:t>8.OHSMS国家/地方职业健康安全部门监督检查情况及措施</w:t>
            </w:r>
          </w:p>
          <w:p>
            <w:pPr>
              <w:spacing w:line="360" w:lineRule="auto"/>
              <w:rPr>
                <w:b/>
                <w:color w:val="000000" w:themeColor="text1"/>
                <w:sz w:val="20"/>
                <w:szCs w:val="20"/>
              </w:rPr>
            </w:pPr>
            <w:r>
              <w:rPr>
                <w:rFonts w:hint="eastAsia"/>
                <w:b w:val="0"/>
                <w:bCs/>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numPr>
                <w:ilvl w:val="0"/>
                <w:numId w:val="7"/>
              </w:numPr>
              <w:spacing w:line="240" w:lineRule="auto"/>
              <w:rPr>
                <w:rFonts w:hint="eastAsia"/>
                <w:b/>
                <w:color w:val="000000" w:themeColor="text1"/>
                <w:sz w:val="20"/>
                <w:szCs w:val="20"/>
              </w:rPr>
            </w:pPr>
            <w:r>
              <w:rPr>
                <w:rFonts w:hint="eastAsia"/>
                <w:b/>
                <w:color w:val="000000" w:themeColor="text1"/>
                <w:sz w:val="20"/>
                <w:szCs w:val="20"/>
              </w:rPr>
              <w:t>其他能够标明组织绩效、信誉的证据/信息：</w:t>
            </w:r>
          </w:p>
          <w:p>
            <w:pPr>
              <w:widowControl/>
              <w:numPr>
                <w:ilvl w:val="0"/>
                <w:numId w:val="0"/>
              </w:numPr>
              <w:spacing w:line="240" w:lineRule="auto"/>
              <w:ind w:left="0" w:leftChars="0" w:firstLine="0" w:firstLineChars="0"/>
              <w:rPr>
                <w:b/>
                <w:color w:val="000000" w:themeColor="text1"/>
                <w:sz w:val="20"/>
                <w:szCs w:val="20"/>
              </w:rPr>
            </w:pPr>
            <w:r>
              <w:rPr>
                <w:rFonts w:hint="eastAsia"/>
                <w:b w:val="0"/>
                <w:bCs/>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360" w:lineRule="auto"/>
              <w:rPr>
                <w:b/>
                <w:color w:val="000000" w:themeColor="text1"/>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360" w:lineRule="auto"/>
              <w:rPr>
                <w:b/>
                <w:color w:val="000000" w:themeColor="text1"/>
                <w:sz w:val="20"/>
                <w:szCs w:val="20"/>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360" w:lineRule="auto"/>
              <w:rPr>
                <w:b/>
                <w:color w:val="000000" w:themeColor="text1"/>
                <w:sz w:val="20"/>
                <w:szCs w:val="20"/>
              </w:rPr>
            </w:pPr>
            <w:r>
              <w:rPr>
                <w:rFonts w:hint="eastAsia"/>
                <w:b/>
                <w:color w:val="000000" w:themeColor="text1"/>
                <w:sz w:val="20"/>
                <w:szCs w:val="20"/>
              </w:rPr>
              <w:t>3. 一阶段提出问题的整改情况?</w:t>
            </w:r>
          </w:p>
          <w:p>
            <w:pPr>
              <w:spacing w:line="360" w:lineRule="auto"/>
              <w:rPr>
                <w:b/>
                <w:color w:val="000000" w:themeColor="text1"/>
                <w:spacing w:val="-20"/>
                <w:sz w:val="20"/>
                <w:szCs w:val="20"/>
              </w:rPr>
            </w:pPr>
            <w:r>
              <w:rPr>
                <w:rFonts w:hint="eastAsia"/>
                <w:b/>
                <w:color w:val="000000" w:themeColor="text1"/>
                <w:spacing w:val="-20"/>
                <w:sz w:val="20"/>
                <w:szCs w:val="20"/>
              </w:rPr>
              <w:t xml:space="preserve">  </w:t>
            </w:r>
            <w:r>
              <w:rPr>
                <w:rFonts w:hint="eastAsia" w:ascii="宋体" w:hAnsi="宋体" w:eastAsia="宋体" w:cs="宋体"/>
                <w:szCs w:val="21"/>
              </w:rPr>
              <w:t>无整改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4"/>
              </w:numPr>
              <w:spacing w:line="360" w:lineRule="auto"/>
              <w:ind w:left="0" w:leftChars="0" w:firstLine="0" w:firstLineChars="0"/>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360" w:lineRule="auto"/>
              <w:ind w:left="0" w:leftChars="0" w:firstLine="0" w:firstLineChars="0"/>
              <w:rPr>
                <w:b/>
                <w:color w:val="000000" w:themeColor="text1"/>
                <w:sz w:val="20"/>
                <w:szCs w:val="20"/>
              </w:rPr>
            </w:pPr>
            <w:r>
              <w:rPr>
                <w:rFonts w:hint="eastAsia"/>
                <w:b w:val="0"/>
                <w:bCs/>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9"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2</w:t>
      </w:r>
      <w:r>
        <w:rPr>
          <w:rFonts w:hint="eastAsia"/>
          <w:b/>
          <w:color w:val="000000" w:themeColor="text1"/>
        </w:rPr>
        <w:t>项，观察项项分布在部门分布见附件。（Q/J/E/S分开填写）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3"/>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2"/>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vAlign w:val="top"/>
          </w:tcPr>
          <w:p>
            <w:pPr>
              <w:spacing w:line="360" w:lineRule="auto"/>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360" w:lineRule="auto"/>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360" w:lineRule="auto"/>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360" w:lineRule="auto"/>
              <w:rPr>
                <w:b/>
                <w:color w:val="000000" w:themeColor="text1"/>
                <w:sz w:val="28"/>
                <w:szCs w:val="28"/>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10"/>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0288" behindDoc="0" locked="0" layoutInCell="1" allowOverlap="1">
            <wp:simplePos x="0" y="0"/>
            <wp:positionH relativeFrom="column">
              <wp:posOffset>1574165</wp:posOffset>
            </wp:positionH>
            <wp:positionV relativeFrom="paragraph">
              <wp:posOffset>320040</wp:posOffset>
            </wp:positionV>
            <wp:extent cx="473710" cy="374650"/>
            <wp:effectExtent l="0" t="0" r="889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473710" cy="37465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ascii="宋体" w:hAnsi="宋体" w:eastAsia="宋体"/>
          <w:szCs w:val="21"/>
          <w:lang w:eastAsia="zh-CN"/>
        </w:rPr>
        <w:drawing>
          <wp:anchor distT="0" distB="0" distL="114300" distR="114300" simplePos="0" relativeHeight="256513024" behindDoc="0" locked="0" layoutInCell="1" allowOverlap="1">
            <wp:simplePos x="0" y="0"/>
            <wp:positionH relativeFrom="column">
              <wp:posOffset>1610360</wp:posOffset>
            </wp:positionH>
            <wp:positionV relativeFrom="paragraph">
              <wp:posOffset>12700</wp:posOffset>
            </wp:positionV>
            <wp:extent cx="667385" cy="553720"/>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7"/>
                    <a:stretch>
                      <a:fillRect/>
                    </a:stretch>
                  </pic:blipFill>
                  <pic:spPr>
                    <a:xfrm>
                      <a:off x="0" y="0"/>
                      <a:ext cx="667385" cy="553720"/>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6516096" behindDoc="0" locked="0" layoutInCell="1" allowOverlap="1">
            <wp:simplePos x="0" y="0"/>
            <wp:positionH relativeFrom="column">
              <wp:posOffset>808990</wp:posOffset>
            </wp:positionH>
            <wp:positionV relativeFrom="paragraph">
              <wp:posOffset>143510</wp:posOffset>
            </wp:positionV>
            <wp:extent cx="418465" cy="330835"/>
            <wp:effectExtent l="0" t="0" r="635" b="1206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418465" cy="330835"/>
                    </a:xfrm>
                    <a:prstGeom prst="rect">
                      <a:avLst/>
                    </a:prstGeom>
                    <a:noFill/>
                    <a:ln>
                      <a:noFill/>
                    </a:ln>
                  </pic:spPr>
                </pic:pic>
              </a:graphicData>
            </a:graphic>
          </wp:anchor>
        </w:drawing>
      </w:r>
      <w:r>
        <w:rPr>
          <w:rFonts w:hint="eastAsia"/>
          <w:b/>
          <w:color w:val="000000" w:themeColor="text1"/>
          <w:szCs w:val="21"/>
        </w:rPr>
        <w:t xml:space="preserve">组长签字:                    </w:t>
      </w:r>
      <w:bookmarkStart w:id="22" w:name="_GoBack"/>
      <w:bookmarkEnd w:id="22"/>
      <w:r>
        <w:rPr>
          <w:rFonts w:hint="eastAsia"/>
          <w:b/>
          <w:color w:val="000000" w:themeColor="text1"/>
          <w:szCs w:val="21"/>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7</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bookmarkEnd w:id="21"/>
  </w:p>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415869"/>
    <w:multiLevelType w:val="singleLevel"/>
    <w:tmpl w:val="99415869"/>
    <w:lvl w:ilvl="0" w:tentative="0">
      <w:start w:val="5"/>
      <w:numFmt w:val="decimal"/>
      <w:suff w:val="space"/>
      <w:lvlText w:val="%1."/>
      <w:lvlJc w:val="left"/>
    </w:lvl>
  </w:abstractNum>
  <w:abstractNum w:abstractNumId="1">
    <w:nsid w:val="CC1DDFA4"/>
    <w:multiLevelType w:val="singleLevel"/>
    <w:tmpl w:val="CC1DDFA4"/>
    <w:lvl w:ilvl="0" w:tentative="0">
      <w:start w:val="9"/>
      <w:numFmt w:val="decimal"/>
      <w:suff w:val="space"/>
      <w:lvlText w:val="%1."/>
      <w:lvlJc w:val="left"/>
    </w:lvl>
  </w:abstractNum>
  <w:abstractNum w:abstractNumId="2">
    <w:nsid w:val="14924DF2"/>
    <w:multiLevelType w:val="singleLevel"/>
    <w:tmpl w:val="14924DF2"/>
    <w:lvl w:ilvl="0" w:tentative="0">
      <w:start w:val="2"/>
      <w:numFmt w:val="decimal"/>
      <w:suff w:val="nothing"/>
      <w:lvlText w:val="%1、"/>
      <w:lvlJc w:val="left"/>
    </w:lvl>
  </w:abstractNum>
  <w:abstractNum w:abstractNumId="3">
    <w:nsid w:val="33638A8C"/>
    <w:multiLevelType w:val="singleLevel"/>
    <w:tmpl w:val="33638A8C"/>
    <w:lvl w:ilvl="0" w:tentative="0">
      <w:start w:val="5"/>
      <w:numFmt w:val="decimal"/>
      <w:suff w:val="nothing"/>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17D4"/>
    <w:rsid w:val="0011243E"/>
    <w:rsid w:val="003A17D4"/>
    <w:rsid w:val="006A17F4"/>
    <w:rsid w:val="00B24452"/>
    <w:rsid w:val="0A3254A8"/>
    <w:rsid w:val="0DD233DF"/>
    <w:rsid w:val="12AC79B4"/>
    <w:rsid w:val="14D87C44"/>
    <w:rsid w:val="218E7484"/>
    <w:rsid w:val="24785F06"/>
    <w:rsid w:val="25D01764"/>
    <w:rsid w:val="29D263B4"/>
    <w:rsid w:val="2B5B1071"/>
    <w:rsid w:val="2CE46739"/>
    <w:rsid w:val="30317160"/>
    <w:rsid w:val="346A339A"/>
    <w:rsid w:val="37231BEB"/>
    <w:rsid w:val="39DB535A"/>
    <w:rsid w:val="3BA16247"/>
    <w:rsid w:val="3D1119DB"/>
    <w:rsid w:val="3D521314"/>
    <w:rsid w:val="412F76EB"/>
    <w:rsid w:val="4D781037"/>
    <w:rsid w:val="4F135BF8"/>
    <w:rsid w:val="52105D21"/>
    <w:rsid w:val="5430784E"/>
    <w:rsid w:val="553F052A"/>
    <w:rsid w:val="57FC5554"/>
    <w:rsid w:val="5B98248D"/>
    <w:rsid w:val="5C2F7116"/>
    <w:rsid w:val="5EDB143F"/>
    <w:rsid w:val="5F8B4290"/>
    <w:rsid w:val="618720C7"/>
    <w:rsid w:val="64423DE5"/>
    <w:rsid w:val="6558313D"/>
    <w:rsid w:val="68534B26"/>
    <w:rsid w:val="6D975CD2"/>
    <w:rsid w:val="6E9C41D1"/>
    <w:rsid w:val="6F031A2F"/>
    <w:rsid w:val="707C71DD"/>
    <w:rsid w:val="7154189E"/>
    <w:rsid w:val="72EE6C67"/>
    <w:rsid w:val="75431B89"/>
    <w:rsid w:val="797F6F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5">
    <w:name w:val="Body Text"/>
    <w:basedOn w:val="1"/>
    <w:semiHidden/>
    <w:unhideWhenUsed/>
    <w:qFormat/>
    <w:uiPriority w:val="99"/>
    <w:pPr>
      <w:spacing w:after="120"/>
    </w:p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19"/>
    <w:semiHidden/>
    <w:unhideWhenUsed/>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6"/>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3">
    <w:name w:val="Table Grid"/>
    <w:basedOn w:val="12"/>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qFormat/>
    <w:uiPriority w:val="99"/>
    <w:rPr>
      <w:rFonts w:ascii="Times New Roman" w:hAnsi="Times New Roman" w:eastAsia="宋体" w:cs="Times New Roman"/>
      <w:sz w:val="18"/>
      <w:szCs w:val="18"/>
    </w:rPr>
  </w:style>
  <w:style w:type="character" w:customStyle="1" w:styleId="18">
    <w:name w:val="页脚 Char"/>
    <w:basedOn w:val="14"/>
    <w:link w:val="8"/>
    <w:uiPriority w:val="99"/>
    <w:rPr>
      <w:rFonts w:ascii="Times New Roman" w:hAnsi="Times New Roman" w:eastAsia="宋体" w:cs="Times New Roman"/>
      <w:sz w:val="18"/>
      <w:szCs w:val="18"/>
    </w:rPr>
  </w:style>
  <w:style w:type="character" w:customStyle="1" w:styleId="19">
    <w:name w:val="批注框文本 Char"/>
    <w:basedOn w:val="14"/>
    <w:link w:val="7"/>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800</Words>
  <Characters>4564</Characters>
  <Lines>38</Lines>
  <Paragraphs>10</Paragraphs>
  <TotalTime>4</TotalTime>
  <ScaleCrop>false</ScaleCrop>
  <LinksUpToDate>false</LinksUpToDate>
  <CharactersWithSpaces>5354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2021-02-07T14:17:49Z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