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spacing w:line="360" w:lineRule="auto"/>
              <w:rPr>
                <w:rFonts w:hint="default" w:eastAsia="宋体"/>
                <w:color w:val="auto"/>
                <w:szCs w:val="21"/>
                <w:lang w:val="en-US" w:eastAsia="zh-CN"/>
              </w:rPr>
            </w:pPr>
            <w:r>
              <w:rPr>
                <w:rFonts w:hint="eastAsia"/>
                <w:szCs w:val="21"/>
              </w:rPr>
              <w:t>受审核部门：</w:t>
            </w:r>
            <w:r>
              <w:rPr>
                <w:rFonts w:hint="eastAsia" w:ascii="宋体" w:hAnsi="宋体" w:cs="Times New Roman"/>
                <w:sz w:val="21"/>
                <w:szCs w:val="21"/>
              </w:rPr>
              <w:t>管理层、</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val="en-US" w:eastAsia="zh-CN"/>
              </w:rPr>
              <w:t>销售部</w:t>
            </w:r>
            <w:r>
              <w:rPr>
                <w:rFonts w:hint="eastAsia" w:ascii="宋体" w:hAnsi="宋体" w:cs="Times New Roman"/>
                <w:sz w:val="21"/>
                <w:szCs w:val="21"/>
              </w:rPr>
              <w:t>、</w:t>
            </w:r>
            <w:r>
              <w:rPr>
                <w:rFonts w:hint="eastAsia" w:ascii="宋体" w:hAnsi="宋体" w:cs="Times New Roman"/>
                <w:sz w:val="21"/>
                <w:szCs w:val="21"/>
                <w:lang w:val="en-US" w:eastAsia="zh-CN"/>
              </w:rPr>
              <w:t>技术部</w:t>
            </w:r>
          </w:p>
          <w:p>
            <w:pPr>
              <w:spacing w:line="360" w:lineRule="auto"/>
              <w:rPr>
                <w:rFonts w:hint="default"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刘晓  管代：李纲要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白春晓</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spacing w:before="120" w:line="360" w:lineRule="auto"/>
              <w:rPr>
                <w:szCs w:val="21"/>
              </w:rPr>
            </w:pPr>
            <w:r>
              <w:rPr>
                <w:rFonts w:hint="eastAsia"/>
                <w:szCs w:val="21"/>
              </w:rPr>
              <w:t>审核员：李俐、</w:t>
            </w:r>
            <w:r>
              <w:rPr>
                <w:rFonts w:hint="eastAsia"/>
                <w:szCs w:val="21"/>
                <w:lang w:val="en-US" w:eastAsia="zh-CN"/>
              </w:rPr>
              <w:t>郭力</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3</w:t>
            </w:r>
            <w:r>
              <w:rPr>
                <w:rFonts w:hint="eastAsia"/>
                <w:szCs w:val="21"/>
              </w:rPr>
              <w:t>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rPr>
                <w:rFonts w:hint="eastAsia" w:eastAsia="宋体"/>
                <w:szCs w:val="21"/>
                <w:lang w:val="en-US" w:eastAsia="zh-CN"/>
              </w:rPr>
            </w:pPr>
            <w:r>
              <w:rPr>
                <w:rFonts w:hint="eastAsia"/>
                <w:szCs w:val="21"/>
              </w:rPr>
              <w:t>审核条款：</w:t>
            </w:r>
            <w:r>
              <w:rPr>
                <w:rFonts w:hint="eastAsia"/>
                <w:szCs w:val="21"/>
                <w:lang w:val="en-US" w:eastAsia="zh-CN"/>
              </w:rPr>
              <w:t>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widowControl/>
              <w:jc w:val="left"/>
              <w:rPr>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default"/>
                <w:lang w:val="en-US" w:eastAsia="zh-CN"/>
              </w:rPr>
            </w:pPr>
            <w:r>
              <w:rPr>
                <w:rFonts w:hint="eastAsia"/>
                <w:lang w:val="en-US" w:eastAsia="zh-CN"/>
              </w:rPr>
              <w:t>面谈人员：总经理：</w:t>
            </w:r>
            <w:r>
              <w:rPr>
                <w:rFonts w:hint="eastAsia" w:asciiTheme="minorEastAsia" w:hAnsiTheme="minorEastAsia" w:eastAsiaTheme="minorEastAsia" w:cstheme="minorEastAsia"/>
                <w:sz w:val="21"/>
                <w:szCs w:val="21"/>
                <w:lang w:val="en-US" w:eastAsia="zh-CN"/>
              </w:rPr>
              <w:t xml:space="preserve">刘晓 </w:t>
            </w:r>
            <w:r>
              <w:rPr>
                <w:rFonts w:hint="eastAsia"/>
                <w:lang w:val="en-US" w:eastAsia="zh-CN"/>
              </w:rPr>
              <w:t xml:space="preserve">   管代： </w:t>
            </w:r>
            <w:r>
              <w:rPr>
                <w:rFonts w:hint="eastAsia" w:asciiTheme="minorEastAsia" w:hAnsiTheme="minorEastAsia" w:eastAsiaTheme="minorEastAsia" w:cstheme="minorEastAsia"/>
                <w:sz w:val="21"/>
                <w:szCs w:val="21"/>
                <w:lang w:val="en-US" w:eastAsia="zh-CN"/>
              </w:rPr>
              <w:t xml:space="preserve">李纲要  </w:t>
            </w:r>
          </w:p>
          <w:p>
            <w:pPr>
              <w:spacing w:line="360" w:lineRule="auto"/>
              <w:ind w:firstLine="420" w:firstLineChars="200"/>
              <w:jc w:val="left"/>
              <w:rPr>
                <w:rFonts w:hint="eastAsia"/>
                <w:szCs w:val="22"/>
                <w:lang w:val="en-US" w:eastAsia="zh-CN"/>
              </w:rPr>
            </w:pPr>
            <w:r>
              <w:rPr>
                <w:rFonts w:hint="eastAsia"/>
                <w:lang w:val="en-US" w:eastAsia="zh-CN"/>
              </w:rPr>
              <w:t>总经理介绍公司成立于</w:t>
            </w:r>
            <w:r>
              <w:rPr>
                <w:rFonts w:hint="eastAsia"/>
              </w:rPr>
              <w:t>20</w:t>
            </w:r>
            <w:r>
              <w:rPr>
                <w:rFonts w:hint="eastAsia"/>
                <w:lang w:val="en-US" w:eastAsia="zh-CN"/>
              </w:rPr>
              <w:t>1</w:t>
            </w:r>
            <w:r>
              <w:rPr>
                <w:rFonts w:hint="eastAsia"/>
                <w:szCs w:val="22"/>
                <w:lang w:val="en-US" w:eastAsia="zh-CN"/>
              </w:rPr>
              <w:t>8年09月03日，公司依托</w:t>
            </w:r>
            <w:r>
              <w:rPr>
                <w:rFonts w:hint="default"/>
                <w:szCs w:val="22"/>
                <w:lang w:val="en-US" w:eastAsia="zh-CN"/>
              </w:rPr>
              <w:t>西安</w:t>
            </w:r>
            <w:r>
              <w:rPr>
                <w:rFonts w:hint="eastAsia"/>
                <w:szCs w:val="22"/>
                <w:lang w:val="en-US" w:eastAsia="zh-CN"/>
              </w:rPr>
              <w:t>院校、科研院所众多的技术优势，其技术骨干来源于中石油、中石化、长江大学、西北大学等企业、院校，并与中国石油大学（北京）、西安石油大学、西南石油大学、中石油石油管工程技术研究院等院所技术联系密切，经营油田助剂、钻采专用设备的销售；油田增产增注措施设计、油田钻采新工艺研发设计的技术服务等。目前与中石油、中石化、中海油等企业开展了相关增产措施设计技术服务、井下工具产品服务、油田助剂、钻采专用设备的销售。</w:t>
            </w:r>
          </w:p>
          <w:p>
            <w:pPr>
              <w:spacing w:line="360" w:lineRule="auto"/>
              <w:jc w:val="left"/>
              <w:rPr>
                <w:rFonts w:hint="eastAsia"/>
                <w:lang w:val="en-US" w:eastAsia="zh-CN"/>
              </w:rPr>
            </w:pPr>
            <w:r>
              <w:rPr>
                <w:rFonts w:hint="eastAsia"/>
                <w:lang w:val="en-US" w:eastAsia="zh-CN"/>
              </w:rPr>
              <w:t>查：申请方提供的各类资质证明：</w:t>
            </w:r>
          </w:p>
          <w:p>
            <w:pPr>
              <w:spacing w:line="360" w:lineRule="auto"/>
              <w:jc w:val="left"/>
              <w:rPr>
                <w:rFonts w:hint="eastAsia"/>
                <w:b/>
                <w:bCs/>
                <w:lang w:val="en-US" w:eastAsia="zh-CN"/>
              </w:rPr>
            </w:pPr>
            <w:r>
              <w:rPr>
                <w:rFonts w:hint="eastAsia"/>
                <w:b/>
                <w:bCs/>
                <w:lang w:val="en-US" w:eastAsia="zh-CN"/>
              </w:rPr>
              <w:t>《营业执照》：</w:t>
            </w:r>
          </w:p>
          <w:p>
            <w:pPr>
              <w:spacing w:line="360" w:lineRule="auto"/>
              <w:jc w:val="left"/>
              <w:rPr>
                <w:rFonts w:hint="default"/>
                <w:lang w:val="en-US" w:eastAsia="zh-CN"/>
              </w:rPr>
            </w:pPr>
            <w:r>
              <w:rPr>
                <w:rFonts w:hint="eastAsia"/>
              </w:rPr>
              <w:t>公司名称：</w:t>
            </w:r>
            <w:r>
              <w:rPr>
                <w:rFonts w:hint="eastAsia" w:ascii="宋体" w:hAnsi="宋体"/>
                <w:szCs w:val="21"/>
                <w:lang w:eastAsia="zh-CN"/>
              </w:rPr>
              <w:t>西安德杰特石油技术有限公司</w:t>
            </w:r>
            <w:r>
              <w:rPr>
                <w:rFonts w:hint="eastAsia"/>
              </w:rPr>
              <w:t>，公司</w:t>
            </w:r>
            <w:r>
              <w:rPr>
                <w:rFonts w:hint="eastAsia"/>
                <w:lang w:val="en-US" w:eastAsia="zh-CN"/>
              </w:rPr>
              <w:t>成立：</w:t>
            </w:r>
            <w:r>
              <w:rPr>
                <w:rFonts w:hint="eastAsia"/>
              </w:rPr>
              <w:t>20</w:t>
            </w:r>
            <w:r>
              <w:rPr>
                <w:rFonts w:hint="eastAsia"/>
                <w:lang w:val="en-US" w:eastAsia="zh-CN"/>
              </w:rPr>
              <w:t>1</w:t>
            </w:r>
            <w:r>
              <w:rPr>
                <w:rFonts w:hint="eastAsia"/>
                <w:szCs w:val="22"/>
                <w:lang w:val="en-US" w:eastAsia="zh-CN"/>
              </w:rPr>
              <w:t>8年09月03日</w:t>
            </w:r>
            <w:r>
              <w:rPr>
                <w:rFonts w:hint="eastAsia"/>
                <w:lang w:val="en-US" w:eastAsia="zh-CN"/>
              </w:rPr>
              <w:t>成立</w:t>
            </w:r>
            <w:r>
              <w:rPr>
                <w:rFonts w:hint="eastAsia"/>
              </w:rPr>
              <w:t>，有效期</w:t>
            </w:r>
            <w:r>
              <w:rPr>
                <w:rFonts w:hint="eastAsia"/>
                <w:lang w:eastAsia="zh-CN"/>
              </w:rPr>
              <w:t>：</w:t>
            </w:r>
            <w:r>
              <w:rPr>
                <w:rFonts w:hint="eastAsia"/>
                <w:lang w:val="en-US" w:eastAsia="zh-CN"/>
              </w:rPr>
              <w:t>长期</w:t>
            </w:r>
          </w:p>
          <w:p>
            <w:pPr>
              <w:spacing w:line="360" w:lineRule="auto"/>
              <w:jc w:val="left"/>
            </w:pPr>
            <w:r>
              <w:rPr>
                <w:rFonts w:hint="eastAsia"/>
              </w:rPr>
              <w:t>法人代表：</w:t>
            </w:r>
            <w:r>
              <w:rPr>
                <w:rFonts w:hint="eastAsia"/>
                <w:lang w:val="en-US" w:eastAsia="zh-CN"/>
              </w:rPr>
              <w:t>刘晓</w:t>
            </w:r>
            <w:r>
              <w:rPr>
                <w:rFonts w:hint="eastAsia"/>
              </w:rPr>
              <w:t>。</w:t>
            </w:r>
            <w:r>
              <w:rPr>
                <w:rFonts w:hint="eastAsia"/>
                <w:lang w:val="en-US" w:eastAsia="zh-CN"/>
              </w:rPr>
              <w:t>注册资金</w:t>
            </w:r>
            <w:r>
              <w:rPr>
                <w:rFonts w:hint="eastAsia"/>
                <w:szCs w:val="21"/>
                <w:lang w:val="en-US" w:eastAsia="zh-CN"/>
              </w:rPr>
              <w:t>5000</w:t>
            </w:r>
            <w:r>
              <w:rPr>
                <w:rFonts w:hint="eastAsia"/>
                <w:lang w:val="en-US" w:eastAsia="zh-CN"/>
              </w:rPr>
              <w:t>万元。</w:t>
            </w:r>
          </w:p>
          <w:p>
            <w:pPr>
              <w:spacing w:line="360" w:lineRule="auto"/>
              <w:jc w:val="left"/>
            </w:pPr>
            <w:r>
              <w:rPr>
                <w:rFonts w:hint="eastAsia"/>
              </w:rPr>
              <w:t>注册地址：</w:t>
            </w:r>
            <w:r>
              <w:rPr>
                <w:rFonts w:hint="eastAsia" w:ascii="宋体" w:hAnsi="宋体"/>
                <w:szCs w:val="21"/>
                <w:lang w:eastAsia="zh-CN"/>
              </w:rPr>
              <w:t>陕西省西安市未央区太华北路大明宫万达甲1写字间1704室</w:t>
            </w:r>
          </w:p>
          <w:p>
            <w:pPr>
              <w:spacing w:line="360" w:lineRule="auto"/>
              <w:jc w:val="left"/>
              <w:rPr>
                <w:rFonts w:hint="eastAsia"/>
                <w:lang w:val="de-DE"/>
              </w:rPr>
            </w:pPr>
            <w:r>
              <w:rPr>
                <w:rFonts w:hint="eastAsia"/>
                <w:lang w:val="de-DE"/>
              </w:rPr>
              <w:t>经营地址：</w:t>
            </w:r>
            <w:r>
              <w:rPr>
                <w:rFonts w:hint="eastAsia" w:ascii="宋体" w:hAnsi="宋体"/>
                <w:szCs w:val="21"/>
                <w:lang w:eastAsia="zh-CN"/>
              </w:rPr>
              <w:t>陕西省西安市未央区太华北路大明宫万达甲1写字间1704室</w:t>
            </w:r>
          </w:p>
          <w:p>
            <w:pPr>
              <w:spacing w:line="360" w:lineRule="auto"/>
              <w:jc w:val="left"/>
              <w:rPr>
                <w:rFonts w:hint="eastAsia"/>
              </w:rPr>
            </w:pPr>
            <w:r>
              <w:rPr>
                <w:rFonts w:hint="eastAsia"/>
              </w:rPr>
              <w:t>经营范围：一般项目∶地质勘查技术服务，化工产品生产（不含许可类化工产品）炼油、化工生产专用设备销售，液压动力机械及元件销售;深海石油钻探设备销售，劳务服务（不含劳务派遣）;石油钻采专用设备制造;石油结采专用设备销售，技术服务、技术开发、技术咨询、技术交流、技术转让。技术推广，教育咨询服务（不含涉许可审批的教育培训活动）;化工产品销售（不含许可类化工产品）。（除依法须经批准的项目外，凭营业执照依法自主开展经营活动）许可项目∶货物进出口，技术进出口。（依法须经批准的项目，经相关部门批准后方可开展经营活动，具体经营项目以审批结果为准）</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营业执照符合要求，见附件。</w:t>
            </w:r>
          </w:p>
          <w:p>
            <w:pPr>
              <w:pStyle w:val="2"/>
              <w:rPr>
                <w:rFonts w:hint="default"/>
                <w:szCs w:val="21"/>
                <w:lang w:val="en-US" w:eastAsia="zh-CN"/>
              </w:rPr>
            </w:pPr>
            <w:r>
              <w:rPr>
                <w:rFonts w:hint="eastAsia"/>
                <w:szCs w:val="21"/>
                <w:lang w:val="en-US" w:eastAsia="zh-CN"/>
              </w:rPr>
              <w:t>资质满足认证范围的要求。</w:t>
            </w:r>
          </w:p>
        </w:tc>
        <w:tc>
          <w:tcPr>
            <w:tcW w:w="709" w:type="dxa"/>
            <w:vAlign w:val="center"/>
          </w:tcPr>
          <w:p>
            <w:pPr>
              <w:widowControl/>
              <w:jc w:val="left"/>
              <w:rPr>
                <w:rFonts w:hint="default" w:eastAsia="宋体"/>
                <w:szCs w:val="21"/>
                <w:lang w:val="en-US" w:eastAsia="zh-CN"/>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近两年与质量、环境和职业健康安全管理体系等方面是否有违规被处罚、媒体通报情况；</w:t>
            </w:r>
          </w:p>
        </w:tc>
        <w:tc>
          <w:tcPr>
            <w:tcW w:w="960" w:type="dxa"/>
            <w:vAlign w:val="center"/>
          </w:tcPr>
          <w:p>
            <w:pPr>
              <w:widowControl/>
              <w:jc w:val="left"/>
              <w:rPr>
                <w:szCs w:val="21"/>
              </w:rPr>
            </w:pPr>
          </w:p>
        </w:tc>
        <w:tc>
          <w:tcPr>
            <w:tcW w:w="10880" w:type="dxa"/>
            <w:vAlign w:val="center"/>
          </w:tcPr>
          <w:p>
            <w:pPr>
              <w:rPr>
                <w:szCs w:val="21"/>
              </w:rPr>
            </w:pPr>
            <w:r>
              <w:rPr>
                <w:rFonts w:hint="eastAsia" w:ascii="宋体" w:hAnsi="宋体"/>
                <w:szCs w:val="21"/>
              </w:rPr>
              <w:t>审核过程中确认，近年来，该企业无质量、环境和职业健康安全管理体系等方面违规被处罚、媒体通报情况。</w:t>
            </w:r>
          </w:p>
          <w:p>
            <w:pPr>
              <w:pStyle w:val="2"/>
              <w:rPr>
                <w:rFonts w:hint="eastAsia"/>
                <w:szCs w:val="21"/>
                <w:lang w:val="en-US"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rFonts w:hint="eastAsia"/>
                <w:szCs w:val="21"/>
              </w:rPr>
            </w:pPr>
            <w:r>
              <w:rPr>
                <w:rFonts w:hint="eastAsia"/>
                <w:szCs w:val="21"/>
              </w:rPr>
              <w:t>组织机构（如部门设置和负责人，服务过程）</w:t>
            </w:r>
          </w:p>
        </w:tc>
        <w:tc>
          <w:tcPr>
            <w:tcW w:w="960" w:type="dxa"/>
            <w:vAlign w:val="center"/>
          </w:tcPr>
          <w:p>
            <w:pPr>
              <w:widowControl/>
              <w:jc w:val="left"/>
              <w:rPr>
                <w:szCs w:val="21"/>
              </w:rPr>
            </w:pPr>
          </w:p>
        </w:tc>
        <w:tc>
          <w:tcPr>
            <w:tcW w:w="10880" w:type="dxa"/>
            <w:vAlign w:val="center"/>
          </w:tcPr>
          <w:p>
            <w:pPr>
              <w:spacing w:line="360" w:lineRule="auto"/>
              <w:jc w:val="left"/>
              <w:rPr>
                <w:rFonts w:hint="eastAsia" w:ascii="宋体" w:hAnsi="宋体"/>
                <w:szCs w:val="21"/>
              </w:rPr>
            </w:pPr>
            <w:r>
              <w:rPr>
                <w:rFonts w:hint="eastAsia" w:ascii="宋体" w:hAnsi="宋体"/>
                <w:szCs w:val="21"/>
              </w:rPr>
              <w:t>质量环境职业健康安全管理体系</w:t>
            </w:r>
            <w:r>
              <w:rPr>
                <w:rFonts w:hint="eastAsia" w:ascii="宋体" w:hAnsi="宋体" w:eastAsia="宋体" w:cs="Times New Roman"/>
                <w:szCs w:val="21"/>
              </w:rPr>
              <w:t>于2020年9月1日建立</w:t>
            </w:r>
            <w:r>
              <w:rPr>
                <w:rFonts w:hint="eastAsia" w:ascii="宋体" w:hAnsi="宋体"/>
                <w:szCs w:val="21"/>
              </w:rPr>
              <w:t>并正式实施。</w:t>
            </w:r>
          </w:p>
          <w:p>
            <w:pPr>
              <w:spacing w:line="360" w:lineRule="auto"/>
              <w:rPr>
                <w:rFonts w:hint="default" w:ascii="宋体" w:hAnsi="宋体" w:eastAsia="宋体"/>
                <w:szCs w:val="21"/>
                <w:lang w:val="en-US" w:eastAsia="zh-CN"/>
              </w:rPr>
            </w:pPr>
            <w:r>
              <w:rPr>
                <w:rFonts w:hint="eastAsia"/>
              </w:rPr>
              <w:t>最管理者，</w:t>
            </w:r>
            <w:r>
              <w:rPr>
                <w:rFonts w:hint="eastAsia"/>
                <w:lang w:val="en-US" w:eastAsia="zh-CN"/>
              </w:rPr>
              <w:t xml:space="preserve">总经理：刘晓  管代：李纲要 </w:t>
            </w:r>
            <w:r>
              <w:rPr>
                <w:rFonts w:hint="eastAsia"/>
              </w:rPr>
              <w:t>，职业健康安全事务代表</w:t>
            </w:r>
            <w:r>
              <w:rPr>
                <w:rFonts w:hint="eastAsia"/>
                <w:lang w:eastAsia="zh-CN"/>
              </w:rPr>
              <w:t>： 王元涛</w:t>
            </w:r>
          </w:p>
          <w:p>
            <w:pPr>
              <w:spacing w:line="360" w:lineRule="auto"/>
              <w:jc w:val="left"/>
              <w:rPr>
                <w:rFonts w:hint="eastAsia" w:ascii="宋体" w:hAnsi="宋体"/>
                <w:szCs w:val="21"/>
              </w:rPr>
            </w:pPr>
            <w:r>
              <w:rPr>
                <w:rFonts w:hint="eastAsia" w:ascii="宋体" w:hAnsi="宋体"/>
                <w:szCs w:val="21"/>
              </w:rPr>
              <w:t>组织机构：</w:t>
            </w:r>
            <w:r>
              <w:rPr>
                <w:rFonts w:hint="eastAsia" w:ascii="宋体" w:hAnsi="宋体" w:cs="Times New Roman"/>
                <w:sz w:val="21"/>
                <w:szCs w:val="21"/>
              </w:rPr>
              <w:t>管理层、</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val="en-US" w:eastAsia="zh-CN"/>
              </w:rPr>
              <w:t>销售部</w:t>
            </w:r>
            <w:r>
              <w:rPr>
                <w:rFonts w:hint="eastAsia" w:ascii="宋体" w:hAnsi="宋体" w:cs="Times New Roman"/>
                <w:sz w:val="21"/>
                <w:szCs w:val="21"/>
              </w:rPr>
              <w:t>、</w:t>
            </w:r>
            <w:r>
              <w:rPr>
                <w:rFonts w:hint="eastAsia" w:ascii="宋体" w:hAnsi="宋体" w:cs="Times New Roman"/>
                <w:sz w:val="21"/>
                <w:szCs w:val="21"/>
                <w:lang w:val="en-US" w:eastAsia="zh-CN"/>
              </w:rPr>
              <w:t>技术部</w:t>
            </w:r>
            <w:r>
              <w:rPr>
                <w:rFonts w:hint="eastAsia" w:ascii="宋体" w:hAnsi="宋体"/>
                <w:szCs w:val="21"/>
              </w:rPr>
              <w:t>。</w:t>
            </w:r>
          </w:p>
          <w:p>
            <w:pPr>
              <w:spacing w:line="360" w:lineRule="auto"/>
              <w:jc w:val="left"/>
              <w:rPr>
                <w:color w:val="000000"/>
                <w:szCs w:val="21"/>
              </w:rPr>
            </w:pPr>
            <w:r>
              <w:rPr>
                <w:rFonts w:hint="eastAsia" w:ascii="宋体" w:hAnsi="宋体"/>
                <w:szCs w:val="21"/>
              </w:rPr>
              <w:t>组织</w:t>
            </w:r>
            <w:r>
              <w:rPr>
                <w:rFonts w:hint="eastAsia" w:ascii="宋体" w:hAnsi="宋体"/>
                <w:szCs w:val="21"/>
                <w:lang w:val="en-US" w:eastAsia="zh-CN"/>
              </w:rPr>
              <w:t>机构</w:t>
            </w:r>
            <w:r>
              <w:rPr>
                <w:rFonts w:hint="eastAsia" w:ascii="宋体" w:hAnsi="宋体"/>
                <w:szCs w:val="21"/>
              </w:rPr>
              <w:t>实际与管理体系文件描述的</w:t>
            </w:r>
            <w:r>
              <w:rPr>
                <w:rFonts w:hint="eastAsia" w:ascii="宋体" w:hAnsi="宋体"/>
                <w:szCs w:val="21"/>
                <w:lang w:val="en-US" w:eastAsia="zh-CN"/>
              </w:rPr>
              <w:t>不</w:t>
            </w:r>
            <w:r>
              <w:rPr>
                <w:rFonts w:hint="eastAsia" w:ascii="宋体" w:hAnsi="宋体"/>
                <w:szCs w:val="21"/>
              </w:rPr>
              <w:t>一致性</w:t>
            </w:r>
            <w:r>
              <w:rPr>
                <w:rFonts w:hint="eastAsia" w:ascii="宋体" w:hAnsi="宋体"/>
                <w:szCs w:val="21"/>
                <w:lang w:eastAsia="zh-CN"/>
              </w:rPr>
              <w:t>，</w:t>
            </w:r>
            <w:r>
              <w:rPr>
                <w:rFonts w:hint="eastAsia" w:ascii="宋体" w:hAnsi="宋体"/>
                <w:szCs w:val="21"/>
                <w:lang w:val="en-US" w:eastAsia="zh-CN"/>
              </w:rPr>
              <w:t>已改正。</w:t>
            </w:r>
          </w:p>
          <w:p>
            <w:pPr>
              <w:spacing w:line="360" w:lineRule="auto"/>
              <w:jc w:val="left"/>
              <w:rPr>
                <w:rFonts w:hint="eastAsia" w:ascii="宋体" w:hAnsi="宋体" w:eastAsia="宋体" w:cs="Times New Roman"/>
                <w:szCs w:val="21"/>
              </w:rPr>
            </w:pP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rPr>
                <w:szCs w:val="21"/>
              </w:rPr>
            </w:pPr>
            <w:r>
              <w:rPr>
                <w:rFonts w:hint="eastAsia" w:ascii="宋体" w:hAnsi="宋体"/>
                <w:szCs w:val="21"/>
              </w:rPr>
              <w:t>审核范围的确认</w:t>
            </w:r>
          </w:p>
          <w:p>
            <w:pPr>
              <w:spacing w:line="400" w:lineRule="exact"/>
              <w:rPr>
                <w:rFonts w:hint="eastAsia" w:ascii="宋体" w:hAnsi="宋体"/>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eastAsia"/>
              </w:rPr>
            </w:pPr>
            <w:r>
              <w:rPr>
                <w:rFonts w:hint="eastAsia"/>
              </w:rPr>
              <w:t>现场确认范围</w:t>
            </w:r>
          </w:p>
          <w:p>
            <w:pPr>
              <w:spacing w:line="360" w:lineRule="auto"/>
              <w:jc w:val="left"/>
              <w:rPr>
                <w:rFonts w:hint="eastAsia" w:ascii="Times New Roman" w:hAnsi="Times New Roman" w:eastAsia="宋体" w:cs="Times New Roman"/>
                <w:szCs w:val="22"/>
              </w:rPr>
            </w:pPr>
            <w:bookmarkStart w:id="0" w:name="审核范围"/>
            <w:r>
              <w:rPr>
                <w:rFonts w:hint="eastAsia" w:ascii="Times New Roman" w:hAnsi="Times New Roman" w:eastAsia="宋体" w:cs="Times New Roman"/>
                <w:szCs w:val="22"/>
              </w:rPr>
              <w:t>Q：</w:t>
            </w:r>
            <w:r>
              <w:rPr>
                <w:rFonts w:hint="eastAsia" w:cs="Times New Roman"/>
                <w:szCs w:val="22"/>
                <w:lang w:eastAsia="zh-CN"/>
              </w:rPr>
              <w:t>油田助剂丶钻采专用设备的销售；油田钻采技术开发及技术服务</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E：油田助剂丶钻采专用设备的销售；油田钻采技术开发及技术服务所涉及场所的相关环境管理活动</w:t>
            </w:r>
          </w:p>
          <w:p>
            <w:pPr>
              <w:spacing w:line="360" w:lineRule="auto"/>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O：油田助剂丶钻采专用设备的销售；油田钻采技术开发及技术服务所涉及场所的相关职业健康安全管理活动</w:t>
            </w:r>
            <w:bookmarkEnd w:id="0"/>
          </w:p>
          <w:p>
            <w:pPr>
              <w:spacing w:line="360" w:lineRule="auto"/>
              <w:jc w:val="left"/>
              <w:rPr>
                <w:rFonts w:hint="default" w:ascii="Times New Roman" w:hAnsi="Times New Roman" w:eastAsia="宋体" w:cs="Times New Roman"/>
                <w:szCs w:val="22"/>
                <w:lang w:val="en-US" w:eastAsia="zh-CN"/>
              </w:rPr>
            </w:pPr>
            <w:r>
              <w:rPr>
                <w:rFonts w:hint="eastAsia" w:cs="Times New Roman"/>
                <w:szCs w:val="22"/>
                <w:lang w:val="en-US" w:eastAsia="zh-CN"/>
              </w:rPr>
              <w:t>无删减条款</w:t>
            </w:r>
            <w:r>
              <w:rPr>
                <w:rFonts w:hint="eastAsia" w:ascii="Times New Roman" w:hAnsi="Times New Roman" w:eastAsia="宋体" w:cs="Times New Roman"/>
                <w:szCs w:val="22"/>
                <w:lang w:val="en-US" w:eastAsia="zh-CN"/>
              </w:rPr>
              <w:t>。</w:t>
            </w:r>
          </w:p>
          <w:p>
            <w:pPr>
              <w:pStyle w:val="2"/>
              <w:rPr>
                <w:rFonts w:hint="default"/>
                <w:lang w:val="en-US" w:eastAsia="zh-CN"/>
              </w:rPr>
            </w:pPr>
            <w:r>
              <w:rPr>
                <w:rFonts w:hint="eastAsia"/>
                <w:lang w:val="en-US" w:eastAsia="zh-CN"/>
              </w:rPr>
              <w:t>有外包：无</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风险和机遇的识别、企业内外部环境分析及相关方的需求和知识</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spacing w:line="360" w:lineRule="auto"/>
              <w:ind w:firstLine="420" w:firstLineChars="200"/>
              <w:rPr>
                <w:rFonts w:hint="eastAsia"/>
                <w:szCs w:val="21"/>
                <w:lang w:val="en-US" w:eastAsia="zh-CN"/>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szCs w:val="21"/>
              </w:rPr>
            </w:pPr>
            <w:r>
              <w:rPr>
                <w:rFonts w:hint="eastAsia"/>
                <w:szCs w:val="21"/>
              </w:rPr>
              <w:t>相关法律法规</w:t>
            </w:r>
          </w:p>
          <w:p>
            <w:pPr>
              <w:pStyle w:val="2"/>
              <w:rPr>
                <w:rFonts w:hint="default" w:eastAsia="宋体"/>
                <w:lang w:val="en-US" w:eastAsia="zh-CN"/>
              </w:rPr>
            </w:pPr>
            <w:r>
              <w:rPr>
                <w:rFonts w:hint="eastAsia"/>
                <w:szCs w:val="21"/>
                <w:lang w:val="en-US" w:eastAsia="zh-CN"/>
              </w:rPr>
              <w:t>合规性评价</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行政部</w:t>
            </w:r>
            <w:r>
              <w:rPr>
                <w:rFonts w:hint="eastAsia" w:ascii="Times New Roman" w:hAnsi="Times New Roman" w:eastAsia="宋体" w:cs="Times New Roman"/>
                <w:szCs w:val="21"/>
              </w:rPr>
              <w:t>负责法律法规的收集、更新；查有《法律、法规及其他要求清单》，对本公司环境和职业健康安全管理体系适用的法律法规和当地政府、行业要求进行了识别，包括环境质量标准、排放标准、职业健康安全卫生标准等。收集技术标准</w:t>
            </w:r>
            <w:r>
              <w:rPr>
                <w:rFonts w:hint="eastAsia" w:ascii="Times New Roman" w:hAnsi="Times New Roman" w:eastAsia="宋体" w:cs="Times New Roman"/>
                <w:szCs w:val="21"/>
                <w:lang w:eastAsia="zh-CN"/>
              </w:rPr>
              <w:t>、</w:t>
            </w:r>
            <w:r>
              <w:rPr>
                <w:rFonts w:hint="eastAsia" w:cs="Times New Roman"/>
                <w:szCs w:val="21"/>
                <w:lang w:val="en-US" w:eastAsia="zh-CN"/>
              </w:rPr>
              <w:t>油田相关</w:t>
            </w:r>
            <w:r>
              <w:rPr>
                <w:rFonts w:hint="eastAsia" w:ascii="Times New Roman" w:hAnsi="Times New Roman" w:eastAsia="宋体" w:cs="Times New Roman"/>
                <w:szCs w:val="21"/>
              </w:rPr>
              <w:t>管理规范、</w:t>
            </w:r>
            <w:r>
              <w:rPr>
                <w:rFonts w:hint="eastAsia" w:cs="Times New Roman"/>
                <w:szCs w:val="21"/>
                <w:lang w:val="en-US" w:eastAsia="zh-CN"/>
              </w:rPr>
              <w:t>油田相关</w:t>
            </w:r>
            <w:r>
              <w:rPr>
                <w:rFonts w:hint="eastAsia" w:ascii="Times New Roman" w:hAnsi="Times New Roman" w:eastAsia="宋体" w:cs="Times New Roman"/>
                <w:szCs w:val="21"/>
              </w:rPr>
              <w:t>技术规程、检测验收规范，职业健康安全法规、环保施工标准……</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有《合规义务管理制度》，规定明确基本合理。</w:t>
            </w:r>
            <w:r>
              <w:rPr>
                <w:rFonts w:hint="eastAsia" w:ascii="Times New Roman" w:hAnsi="Times New Roman" w:eastAsia="宋体" w:cs="Times New Roman"/>
                <w:szCs w:val="21"/>
                <w:lang w:eastAsia="zh-CN"/>
              </w:rPr>
              <w:t>综合部</w:t>
            </w:r>
            <w:r>
              <w:rPr>
                <w:rFonts w:hint="eastAsia" w:ascii="Times New Roman" w:hAnsi="Times New Roman" w:eastAsia="宋体" w:cs="Times New Roman"/>
                <w:szCs w:val="21"/>
              </w:rPr>
              <w:t>组织对公司环境安全健康管理活动，遵守相关法律法规和其他要求情况进行评价，评价结果符合相关法律法规和其他要求，无违法违规情况并保持有合规性评价记录。</w:t>
            </w:r>
          </w:p>
          <w:p>
            <w:pPr>
              <w:spacing w:line="360" w:lineRule="auto"/>
              <w:ind w:firstLine="420" w:firstLineChars="200"/>
              <w:rPr>
                <w:rFonts w:hint="eastAsia"/>
                <w:szCs w:val="21"/>
              </w:rPr>
            </w:pPr>
            <w:r>
              <w:rPr>
                <w:rFonts w:hint="eastAsia" w:ascii="Times New Roman" w:hAnsi="Times New Roman" w:eastAsia="宋体" w:cs="Times New Roman"/>
                <w:szCs w:val="21"/>
              </w:rPr>
              <w:t>见《合规性评价报告》，详见二阶段。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环评报告及环评验收</w:t>
            </w: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不需要</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产品实现主要工艺</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szCs w:val="22"/>
                <w:lang w:val="en-US" w:eastAsia="zh-CN"/>
              </w:rPr>
            </w:pPr>
            <w:r>
              <w:rPr>
                <w:rFonts w:hint="eastAsia"/>
                <w:szCs w:val="22"/>
                <w:lang w:val="en-US" w:eastAsia="zh-CN"/>
              </w:rPr>
              <w:t>销售和油田钻采技术开发及技术服务流程</w:t>
            </w:r>
          </w:p>
          <w:p>
            <w:pPr>
              <w:pStyle w:val="2"/>
              <w:spacing w:line="360" w:lineRule="auto"/>
              <w:rPr>
                <w:rFonts w:hint="eastAsia" w:ascii="Times New Roman" w:hAnsi="Times New Roman" w:cs="Times New Roman"/>
                <w:szCs w:val="22"/>
                <w:lang w:val="en-US" w:eastAsia="zh-CN"/>
              </w:rPr>
            </w:pPr>
            <w:r>
              <w:rPr>
                <w:rFonts w:hint="eastAsia" w:cs="Times New Roman"/>
                <w:szCs w:val="22"/>
                <w:lang w:val="en-US" w:eastAsia="zh-CN"/>
              </w:rPr>
              <w:t>开发及</w:t>
            </w:r>
            <w:r>
              <w:rPr>
                <w:rFonts w:hint="eastAsia"/>
                <w:szCs w:val="22"/>
                <w:lang w:val="en-US" w:eastAsia="zh-CN"/>
              </w:rPr>
              <w:t>技术服务流程</w:t>
            </w:r>
            <w:r>
              <w:rPr>
                <w:rFonts w:hint="eastAsia" w:cs="Times New Roman"/>
                <w:szCs w:val="22"/>
                <w:lang w:val="en-US" w:eastAsia="zh-CN"/>
              </w:rPr>
              <w:t>服</w:t>
            </w:r>
            <w:r>
              <w:rPr>
                <w:rFonts w:hint="eastAsia" w:ascii="Times New Roman" w:hAnsi="Times New Roman" w:cs="Times New Roman"/>
                <w:szCs w:val="22"/>
                <w:lang w:val="en-US" w:eastAsia="zh-CN"/>
              </w:rPr>
              <w:t>务流程：项目立项→需求调研/分析→成果设计/实施服务→客户测试验收</w:t>
            </w:r>
          </w:p>
          <w:p>
            <w:pPr>
              <w:pStyle w:val="2"/>
              <w:spacing w:line="360" w:lineRule="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销售服务流程：签订销售合同</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实施采购</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送货</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检验</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交付</w:t>
            </w:r>
            <w:bookmarkStart w:id="1" w:name="_GoBack"/>
            <w:bookmarkEnd w:id="1"/>
          </w:p>
          <w:p>
            <w:pPr>
              <w:pStyle w:val="2"/>
              <w:spacing w:line="360" w:lineRule="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项目关键过程：</w:t>
            </w:r>
            <w:r>
              <w:rPr>
                <w:rFonts w:hint="eastAsia" w:cs="Times New Roman"/>
                <w:szCs w:val="22"/>
                <w:lang w:val="en-US" w:eastAsia="zh-CN"/>
              </w:rPr>
              <w:t>销售服务过程、成果设计过程</w:t>
            </w:r>
          </w:p>
          <w:p>
            <w:pPr>
              <w:pStyle w:val="2"/>
              <w:spacing w:line="360" w:lineRule="auto"/>
              <w:rPr>
                <w:rFonts w:hint="default"/>
                <w:lang w:val="en-US"/>
              </w:rPr>
            </w:pPr>
            <w:r>
              <w:rPr>
                <w:rFonts w:hint="eastAsia" w:ascii="Times New Roman" w:hAnsi="Times New Roman" w:eastAsia="宋体" w:cs="Times New Roman"/>
                <w:szCs w:val="22"/>
                <w:lang w:val="en-US" w:eastAsia="zh-CN"/>
              </w:rPr>
              <w:t>管控措施：见</w:t>
            </w:r>
            <w:r>
              <w:rPr>
                <w:rFonts w:hint="eastAsia" w:cs="Times New Roman"/>
                <w:szCs w:val="22"/>
                <w:lang w:val="en-US" w:eastAsia="zh-CN"/>
              </w:rPr>
              <w:t>成果设计方案</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方针、目标、指标和方案情况</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 xml:space="preserve">质量、环境、职业健康安全方针是： </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顾客至上、优质高效；保护环境、减污降噪；以人为本、安全生产；遵纪守法、持续改进；提高素质、构建和谐；</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一、质量目标</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1) 设计研发服务合格率100%;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2）顾客满意度≥90%；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二、环境目标</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1）固废合理分类为100%；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三、职业健康安全目标</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1）意外伤害事故为0；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查《目标考核表》20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4日</w:t>
            </w:r>
            <w:r>
              <w:rPr>
                <w:rFonts w:hint="eastAsia" w:ascii="Times New Roman" w:hAnsi="Times New Roman" w:eastAsia="宋体" w:cs="Times New Roman"/>
                <w:szCs w:val="22"/>
              </w:rPr>
              <w:t>，对目标进行考核，均达到目标，</w:t>
            </w:r>
          </w:p>
          <w:p>
            <w:pPr>
              <w:spacing w:line="360" w:lineRule="auto"/>
              <w:ind w:firstLine="420" w:firstLineChars="200"/>
              <w:rPr>
                <w:rFonts w:hint="eastAsia"/>
              </w:rPr>
            </w:pPr>
            <w:r>
              <w:rPr>
                <w:rFonts w:hint="eastAsia" w:ascii="Times New Roman" w:hAnsi="Times New Roman" w:eastAsia="宋体" w:cs="Times New Roman"/>
                <w:szCs w:val="22"/>
                <w:lang w:val="en-US" w:eastAsia="zh-CN"/>
              </w:rPr>
              <w:t>《环境目标指标管理方案》和《安全目标、指标、管理方案》，环境、安全运行检查，具体详见二阶段。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szCs w:val="21"/>
              </w:rPr>
            </w:pPr>
            <w:r>
              <w:rPr>
                <w:rFonts w:hint="eastAsia"/>
                <w:color w:val="auto"/>
                <w:szCs w:val="21"/>
              </w:rPr>
              <w:t>重要环境因素、</w:t>
            </w:r>
          </w:p>
          <w:p>
            <w:pPr>
              <w:rPr>
                <w:color w:val="auto"/>
                <w:szCs w:val="21"/>
              </w:rPr>
            </w:pPr>
            <w:r>
              <w:rPr>
                <w:rFonts w:hint="eastAsia"/>
                <w:color w:val="auto"/>
                <w:szCs w:val="21"/>
              </w:rPr>
              <w:t>不可接受危险源</w:t>
            </w:r>
          </w:p>
          <w:p>
            <w:pPr>
              <w:rPr>
                <w:color w:val="auto"/>
                <w:szCs w:val="21"/>
              </w:rPr>
            </w:pPr>
          </w:p>
        </w:tc>
        <w:tc>
          <w:tcPr>
            <w:tcW w:w="960" w:type="dxa"/>
          </w:tcPr>
          <w:p>
            <w:pPr>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编制了《环境因素的识别与评价控制程序》《危险源辩识、风险评价和风险控制策划程序》符合标准要求</w:t>
            </w:r>
            <w:r>
              <w:rPr>
                <w:color w:val="auto"/>
                <w:szCs w:val="21"/>
              </w:rPr>
              <w:t>.</w:t>
            </w:r>
            <w:r>
              <w:rPr>
                <w:rFonts w:hint="eastAsia"/>
                <w:color w:val="auto"/>
                <w:szCs w:val="21"/>
              </w:rPr>
              <w:t>提供的“环境因素识别评价表”“重要环境因素清单”，</w:t>
            </w:r>
            <w:r>
              <w:rPr>
                <w:color w:val="auto"/>
                <w:szCs w:val="21"/>
              </w:rPr>
              <w:t xml:space="preserve"> </w:t>
            </w:r>
            <w:r>
              <w:rPr>
                <w:rFonts w:hint="eastAsia"/>
                <w:color w:val="auto"/>
                <w:szCs w:val="21"/>
              </w:rPr>
              <w:t>评价考虑了三种时态现在、过去、将来、三种状态、异常、正常、紧急考虑了</w:t>
            </w:r>
            <w:r>
              <w:rPr>
                <w:rFonts w:hint="eastAsia" w:ascii="Times New Roman" w:hAnsi="Times New Roman" w:cs="Times New Roman"/>
                <w:color w:val="auto"/>
                <w:szCs w:val="21"/>
              </w:rPr>
              <w:t>法律法规，并进行了评价。对重要环境因素的控制措施包括制定管理制度、监督检查、应急预案、培训等。</w:t>
            </w:r>
          </w:p>
          <w:p>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查见《重要环境因素清单》，已将“</w:t>
            </w:r>
            <w:r>
              <w:rPr>
                <w:rFonts w:hint="eastAsia" w:asciiTheme="minorEastAsia" w:hAnsiTheme="minorEastAsia" w:eastAsiaTheme="minorEastAsia" w:cstheme="minorEastAsia"/>
                <w:color w:val="auto"/>
                <w:sz w:val="21"/>
                <w:szCs w:val="21"/>
                <w:lang w:val="en-US" w:eastAsia="zh-CN"/>
              </w:rPr>
              <w:t>固废、火灾</w:t>
            </w:r>
            <w:r>
              <w:rPr>
                <w:rFonts w:hint="eastAsia" w:asciiTheme="minorEastAsia" w:hAnsiTheme="minorEastAsia" w:eastAsiaTheme="minorEastAsia" w:cstheme="minorEastAsia"/>
                <w:color w:val="auto"/>
                <w:sz w:val="21"/>
                <w:szCs w:val="21"/>
              </w:rPr>
              <w:t>。”等内容列入重要环境因素</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eastAsia="宋体"/>
                <w:color w:val="auto"/>
                <w:szCs w:val="21"/>
                <w:lang w:eastAsia="zh-CN"/>
              </w:rPr>
            </w:pPr>
            <w:r>
              <w:rPr>
                <w:rFonts w:hint="eastAsia" w:asciiTheme="minorEastAsia" w:hAnsiTheme="minorEastAsia" w:eastAsiaTheme="minorEastAsia" w:cstheme="minorEastAsia"/>
                <w:color w:val="auto"/>
                <w:sz w:val="21"/>
                <w:szCs w:val="21"/>
              </w:rPr>
              <w:t>不可接受风险有：火灾、触电，</w:t>
            </w:r>
            <w:r>
              <w:rPr>
                <w:rFonts w:hint="eastAsia" w:asciiTheme="minorEastAsia" w:hAnsiTheme="minorEastAsia" w:eastAsiaTheme="minorEastAsia" w:cstheme="minorEastAsia"/>
                <w:color w:val="auto"/>
                <w:sz w:val="21"/>
                <w:szCs w:val="21"/>
                <w:lang w:val="en-US" w:eastAsia="zh-CN"/>
              </w:rPr>
              <w:t>意外交通事故</w:t>
            </w:r>
            <w:r>
              <w:rPr>
                <w:rFonts w:hint="eastAsia" w:asciiTheme="minorEastAsia" w:hAnsiTheme="minorEastAsia" w:eastAsiaTheme="minorEastAsia" w:cstheme="minorEastAsia"/>
                <w:color w:val="auto"/>
                <w:sz w:val="21"/>
                <w:szCs w:val="21"/>
              </w:rPr>
              <w:t>等项。</w:t>
            </w:r>
            <w:r>
              <w:rPr>
                <w:rFonts w:hint="eastAsia" w:ascii="Times New Roman" w:hAnsi="Times New Roman" w:cs="Times New Roman"/>
                <w:color w:val="auto"/>
                <w:szCs w:val="21"/>
              </w:rPr>
              <w:t>二阶段进行进一步关注</w:t>
            </w:r>
            <w:r>
              <w:rPr>
                <w:rFonts w:hint="eastAsia" w:cs="Times New Roman"/>
                <w:color w:val="auto"/>
                <w:szCs w:val="21"/>
                <w:lang w:eastAsia="zh-CN"/>
              </w:rPr>
              <w:t>。</w:t>
            </w:r>
          </w:p>
        </w:tc>
        <w:tc>
          <w:tcPr>
            <w:tcW w:w="709" w:type="dxa"/>
          </w:tcPr>
          <w:p>
            <w:pPr>
              <w:pStyle w:val="2"/>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color w:val="auto"/>
                <w:szCs w:val="21"/>
              </w:rPr>
              <w:t>内审情况</w:t>
            </w:r>
          </w:p>
          <w:p>
            <w:pPr>
              <w:spacing w:line="360" w:lineRule="auto"/>
              <w:rPr>
                <w:color w:val="auto"/>
                <w:szCs w:val="21"/>
              </w:rPr>
            </w:pPr>
            <w:r>
              <w:rPr>
                <w:rFonts w:hint="eastAsia"/>
                <w:color w:val="auto"/>
                <w:szCs w:val="21"/>
              </w:rPr>
              <w:t>管理评审</w:t>
            </w: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公司于</w:t>
            </w:r>
            <w:r>
              <w:rPr>
                <w:rFonts w:hint="eastAsia" w:ascii="Times New Roman" w:hAnsi="Times New Roman" w:cs="Times New Roman"/>
                <w:color w:val="auto"/>
                <w:szCs w:val="21"/>
                <w:lang w:val="en-US" w:eastAsia="zh-CN"/>
              </w:rPr>
              <w:t>2020年12月8-9日</w:t>
            </w:r>
            <w:r>
              <w:rPr>
                <w:rFonts w:hint="eastAsia" w:ascii="Times New Roman" w:hAnsi="Times New Roman" w:cs="Times New Roman"/>
                <w:color w:val="auto"/>
                <w:szCs w:val="21"/>
              </w:rPr>
              <w:t>开展内部审核进行一次内审，提供了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p>
          <w:p>
            <w:pPr>
              <w:spacing w:line="360" w:lineRule="auto"/>
              <w:rPr>
                <w:rFonts w:hint="eastAsia"/>
                <w:color w:val="auto"/>
                <w:szCs w:val="21"/>
              </w:rPr>
            </w:pP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20</w:t>
            </w:r>
            <w:r>
              <w:rPr>
                <w:rFonts w:hint="eastAsia" w:ascii="Times New Roman" w:hAnsi="Times New Roman" w:cs="Times New Roman"/>
                <w:color w:val="auto"/>
                <w:szCs w:val="21"/>
              </w:rPr>
              <w:t>年</w:t>
            </w:r>
            <w:r>
              <w:rPr>
                <w:rFonts w:hint="eastAsia" w:ascii="Times New Roman" w:hAnsi="Times New Roman" w:cs="Times New Roman"/>
                <w:color w:val="auto"/>
                <w:szCs w:val="21"/>
                <w:lang w:val="en-US" w:eastAsia="zh-CN"/>
              </w:rPr>
              <w:t>12</w:t>
            </w:r>
            <w:r>
              <w:rPr>
                <w:rFonts w:hint="eastAsia" w:ascii="Times New Roman" w:hAnsi="Times New Roman" w:cs="Times New Roman"/>
                <w:color w:val="auto"/>
                <w:szCs w:val="21"/>
              </w:rPr>
              <w:t>月</w:t>
            </w:r>
            <w:r>
              <w:rPr>
                <w:rFonts w:hint="eastAsia" w:ascii="Times New Roman" w:hAnsi="Times New Roman" w:cs="Times New Roman"/>
                <w:color w:val="auto"/>
                <w:szCs w:val="21"/>
                <w:lang w:val="en-US" w:eastAsia="zh-CN"/>
              </w:rPr>
              <w:t>30</w:t>
            </w:r>
            <w:r>
              <w:rPr>
                <w:rFonts w:hint="eastAsia" w:ascii="Times New Roman" w:hAnsi="Times New Roman" w:cs="Times New Roman"/>
                <w:color w:val="auto"/>
                <w:szCs w:val="21"/>
              </w:rPr>
              <w:t>日召开了管理评审会议，由</w:t>
            </w:r>
            <w:r>
              <w:rPr>
                <w:rFonts w:hint="eastAsia"/>
                <w:color w:val="auto"/>
                <w:szCs w:val="21"/>
              </w:rPr>
              <w:t>总经理主持。提供管理评审报告，具体内容，二阶段进一步审核。</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0" w:type="dxa"/>
          </w:tcPr>
          <w:p>
            <w:pPr>
              <w:rPr>
                <w:color w:val="auto"/>
                <w:szCs w:val="21"/>
              </w:rPr>
            </w:pPr>
          </w:p>
          <w:p>
            <w:pPr>
              <w:rPr>
                <w:color w:val="auto"/>
                <w:szCs w:val="21"/>
              </w:rPr>
            </w:pPr>
          </w:p>
          <w:p>
            <w:pPr>
              <w:spacing w:line="360" w:lineRule="auto"/>
              <w:rPr>
                <w:color w:val="auto"/>
                <w:szCs w:val="21"/>
              </w:rPr>
            </w:pPr>
            <w:r>
              <w:rPr>
                <w:rFonts w:hint="eastAsia"/>
                <w:color w:val="auto"/>
                <w:szCs w:val="21"/>
              </w:rPr>
              <w:t>设备设施（包括信息系统）</w:t>
            </w:r>
          </w:p>
          <w:p>
            <w:pPr>
              <w:spacing w:line="360" w:lineRule="auto"/>
              <w:rPr>
                <w:color w:val="auto"/>
                <w:szCs w:val="21"/>
              </w:rPr>
            </w:pPr>
            <w:r>
              <w:rPr>
                <w:rFonts w:hint="eastAsia"/>
                <w:color w:val="auto"/>
                <w:szCs w:val="21"/>
              </w:rPr>
              <w:t>特种设备</w:t>
            </w:r>
          </w:p>
          <w:p>
            <w:pPr>
              <w:spacing w:line="360" w:lineRule="auto"/>
              <w:rPr>
                <w:color w:val="auto"/>
                <w:szCs w:val="21"/>
              </w:rPr>
            </w:pPr>
            <w:r>
              <w:rPr>
                <w:rFonts w:hint="eastAsia"/>
                <w:color w:val="auto"/>
                <w:szCs w:val="21"/>
              </w:rPr>
              <w:t>监视和测量资源</w:t>
            </w:r>
          </w:p>
          <w:p>
            <w:pPr>
              <w:spacing w:line="360" w:lineRule="auto"/>
              <w:rPr>
                <w:rFonts w:hint="eastAsia"/>
                <w:color w:val="auto"/>
                <w:szCs w:val="21"/>
              </w:rPr>
            </w:pPr>
            <w:r>
              <w:rPr>
                <w:rFonts w:hint="eastAsia"/>
                <w:color w:val="auto"/>
                <w:szCs w:val="21"/>
              </w:rPr>
              <w:t>环保、安全设施</w:t>
            </w:r>
          </w:p>
        </w:tc>
        <w:tc>
          <w:tcPr>
            <w:tcW w:w="960" w:type="dxa"/>
          </w:tcPr>
          <w:p>
            <w:pPr>
              <w:spacing w:line="360" w:lineRule="auto"/>
              <w:rPr>
                <w:color w:val="auto"/>
                <w:szCs w:val="21"/>
              </w:rPr>
            </w:pPr>
          </w:p>
        </w:tc>
        <w:tc>
          <w:tcPr>
            <w:tcW w:w="10880" w:type="dxa"/>
          </w:tcPr>
          <w:p>
            <w:pPr>
              <w:spacing w:line="360" w:lineRule="auto"/>
              <w:rPr>
                <w:rFonts w:hint="eastAsia" w:eastAsia="宋体"/>
                <w:color w:val="auto"/>
                <w:szCs w:val="21"/>
                <w:lang w:val="en-US" w:eastAsia="zh-CN"/>
              </w:rPr>
            </w:pPr>
            <w:r>
              <w:rPr>
                <w:rFonts w:hint="eastAsia"/>
                <w:color w:val="auto"/>
                <w:szCs w:val="21"/>
              </w:rPr>
              <w:t>主要设备：</w:t>
            </w:r>
            <w:r>
              <w:rPr>
                <w:rFonts w:hint="eastAsia" w:cs="Times New Roman"/>
                <w:color w:val="auto"/>
                <w:szCs w:val="21"/>
                <w:lang w:val="en-US" w:eastAsia="zh-CN"/>
              </w:rPr>
              <w:t>台式计算机、笔记本、打印复印机、office办公软件</w:t>
            </w:r>
            <w:r>
              <w:rPr>
                <w:rFonts w:hint="eastAsia" w:ascii="Times New Roman" w:hAnsi="Times New Roman" w:eastAsia="宋体" w:cs="Times New Roman"/>
                <w:color w:val="auto"/>
                <w:szCs w:val="21"/>
                <w:lang w:val="en-US" w:eastAsia="zh-CN"/>
              </w:rPr>
              <w:t>等。</w:t>
            </w:r>
          </w:p>
          <w:p>
            <w:pPr>
              <w:spacing w:line="360" w:lineRule="auto"/>
              <w:rPr>
                <w:rFonts w:hint="default"/>
                <w:color w:val="auto"/>
                <w:szCs w:val="21"/>
                <w:lang w:val="en-US" w:eastAsia="zh-CN"/>
              </w:rPr>
            </w:pPr>
            <w:r>
              <w:rPr>
                <w:rFonts w:hint="eastAsia"/>
                <w:color w:val="auto"/>
                <w:szCs w:val="21"/>
                <w:lang w:val="en-US" w:eastAsia="zh-CN"/>
              </w:rPr>
              <w:t>特种设备：无</w:t>
            </w:r>
          </w:p>
          <w:p>
            <w:pPr>
              <w:spacing w:line="360" w:lineRule="auto"/>
              <w:rPr>
                <w:rFonts w:hint="eastAsia"/>
                <w:color w:val="auto"/>
                <w:szCs w:val="21"/>
                <w:lang w:eastAsia="zh-CN"/>
              </w:rPr>
            </w:pPr>
            <w:r>
              <w:rPr>
                <w:rFonts w:hint="eastAsia"/>
                <w:color w:val="auto"/>
                <w:szCs w:val="21"/>
                <w:lang w:val="en-US" w:eastAsia="zh-CN"/>
              </w:rPr>
              <w:t>见</w:t>
            </w:r>
            <w:r>
              <w:rPr>
                <w:rFonts w:hint="eastAsia"/>
                <w:color w:val="auto"/>
                <w:szCs w:val="21"/>
              </w:rPr>
              <w:t>《设备维修保养计划》、《设备维修保养记录》，运行维护基本有效</w:t>
            </w:r>
            <w:r>
              <w:rPr>
                <w:rFonts w:hint="eastAsia"/>
                <w:color w:val="auto"/>
                <w:szCs w:val="21"/>
                <w:lang w:eastAsia="zh-CN"/>
              </w:rPr>
              <w:t>。</w:t>
            </w:r>
          </w:p>
          <w:p>
            <w:pPr>
              <w:spacing w:line="360" w:lineRule="auto"/>
              <w:rPr>
                <w:rFonts w:hint="default"/>
                <w:color w:val="auto"/>
                <w:szCs w:val="21"/>
                <w:lang w:val="en-US" w:eastAsia="zh-CN"/>
              </w:rPr>
            </w:pPr>
            <w:r>
              <w:rPr>
                <w:rFonts w:hint="eastAsia"/>
                <w:color w:val="auto"/>
                <w:szCs w:val="21"/>
              </w:rPr>
              <w:t>监视和测量设备</w:t>
            </w:r>
            <w:r>
              <w:rPr>
                <w:rFonts w:hint="eastAsia"/>
                <w:color w:val="auto"/>
                <w:szCs w:val="21"/>
                <w:lang w:eastAsia="zh-CN"/>
              </w:rPr>
              <w:t>：</w:t>
            </w:r>
            <w:r>
              <w:rPr>
                <w:rFonts w:hint="eastAsia"/>
                <w:color w:val="auto"/>
                <w:szCs w:val="21"/>
                <w:lang w:val="en-US" w:eastAsia="zh-CN"/>
              </w:rPr>
              <w:t>无。</w:t>
            </w:r>
          </w:p>
          <w:p>
            <w:pPr>
              <w:spacing w:line="360" w:lineRule="auto"/>
              <w:rPr>
                <w:rFonts w:hint="eastAsia"/>
                <w:color w:val="auto"/>
                <w:szCs w:val="21"/>
              </w:rPr>
            </w:pPr>
            <w:r>
              <w:rPr>
                <w:rFonts w:hint="eastAsia"/>
                <w:color w:val="auto"/>
                <w:szCs w:val="21"/>
              </w:rPr>
              <w:t>环保、安全设施有：垃圾桶、</w:t>
            </w:r>
            <w:r>
              <w:rPr>
                <w:rFonts w:hint="eastAsia"/>
                <w:color w:val="auto"/>
                <w:szCs w:val="21"/>
                <w:lang w:val="en-US" w:eastAsia="zh-CN"/>
              </w:rPr>
              <w:t>消火栓</w:t>
            </w:r>
            <w:r>
              <w:rPr>
                <w:rFonts w:hint="eastAsia"/>
                <w:color w:val="auto"/>
                <w:szCs w:val="21"/>
              </w:rPr>
              <w:t>；安全设施配置主要有：灭火器、消防器材等，</w:t>
            </w:r>
            <w:r>
              <w:rPr>
                <w:rFonts w:hint="eastAsia"/>
                <w:color w:val="auto"/>
                <w:szCs w:val="21"/>
                <w:lang w:val="en-US" w:eastAsia="zh-CN"/>
              </w:rPr>
              <w:t>写字楼物业</w:t>
            </w:r>
            <w:r>
              <w:rPr>
                <w:rFonts w:hint="eastAsia"/>
                <w:color w:val="auto"/>
                <w:szCs w:val="21"/>
              </w:rPr>
              <w:t>定期维护与保养。二阶段进一步审核。</w:t>
            </w:r>
          </w:p>
        </w:tc>
        <w:tc>
          <w:tcPr>
            <w:tcW w:w="709" w:type="dxa"/>
          </w:tcPr>
          <w:p>
            <w:pPr>
              <w:pStyle w:val="2"/>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ascii="宋体" w:hAnsi="宋体"/>
                <w:color w:val="auto"/>
                <w:szCs w:val="21"/>
              </w:rPr>
              <w:t>财务费用支出等</w:t>
            </w:r>
          </w:p>
          <w:p>
            <w:pPr>
              <w:spacing w:line="360" w:lineRule="auto"/>
              <w:rPr>
                <w:rFonts w:hint="eastAsia"/>
                <w:color w:val="auto"/>
                <w:szCs w:val="21"/>
              </w:rPr>
            </w:pPr>
          </w:p>
        </w:tc>
        <w:tc>
          <w:tcPr>
            <w:tcW w:w="960" w:type="dxa"/>
          </w:tcPr>
          <w:p>
            <w:pPr>
              <w:spacing w:line="360" w:lineRule="auto"/>
              <w:rPr>
                <w:color w:val="auto"/>
                <w:szCs w:val="21"/>
              </w:rPr>
            </w:pPr>
          </w:p>
        </w:tc>
        <w:tc>
          <w:tcPr>
            <w:tcW w:w="10880" w:type="dxa"/>
          </w:tcPr>
          <w:p>
            <w:pPr>
              <w:pStyle w:val="2"/>
              <w:spacing w:line="360" w:lineRule="auto"/>
              <w:rPr>
                <w:rFonts w:hint="eastAsia" w:ascii="宋体" w:hAnsi="宋体" w:cs="楷体_GB2312"/>
                <w:color w:val="000000" w:themeColor="text1"/>
                <w:szCs w:val="21"/>
              </w:rPr>
            </w:pPr>
            <w:r>
              <w:rPr>
                <w:rFonts w:hint="eastAsia"/>
                <w:bCs w:val="0"/>
                <w:color w:val="000000" w:themeColor="text1"/>
                <w:spacing w:val="0"/>
                <w:szCs w:val="21"/>
              </w:rPr>
              <w:t>经了解，财务投入包括</w:t>
            </w:r>
            <w:r>
              <w:rPr>
                <w:rFonts w:hint="eastAsia" w:ascii="宋体" w:hAnsi="宋体" w:cs="楷体_GB2312"/>
                <w:color w:val="000000" w:themeColor="text1"/>
                <w:szCs w:val="21"/>
              </w:rPr>
              <w:t>员工职业健康的体检费用、安全环保消防监测费用、员工劳保用品费用、防暑降温费用、员工社保的费用等，</w:t>
            </w:r>
          </w:p>
          <w:p>
            <w:pPr>
              <w:pStyle w:val="2"/>
              <w:spacing w:line="360" w:lineRule="auto"/>
              <w:rPr>
                <w:rFonts w:hint="eastAsia"/>
                <w:color w:val="auto"/>
                <w:szCs w:val="21"/>
              </w:rPr>
            </w:pPr>
            <w:r>
              <w:rPr>
                <w:rFonts w:hint="eastAsia" w:ascii="宋体" w:hAnsi="宋体" w:cs="楷体_GB2312"/>
                <w:color w:val="000000" w:themeColor="text1"/>
                <w:szCs w:val="21"/>
              </w:rPr>
              <w:t>二阶段详查</w:t>
            </w:r>
            <w:r>
              <w:rPr>
                <w:rFonts w:hint="eastAsia" w:ascii="宋体" w:hAnsi="宋体" w:cs="楷体_GB2312"/>
                <w:color w:val="FF0000"/>
                <w:szCs w:val="21"/>
              </w:rPr>
              <w:t>。</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color w:val="auto"/>
                <w:szCs w:val="21"/>
              </w:rPr>
            </w:pPr>
          </w:p>
          <w:p>
            <w:pPr>
              <w:spacing w:line="360" w:lineRule="auto"/>
              <w:rPr>
                <w:color w:val="auto"/>
                <w:szCs w:val="21"/>
              </w:rPr>
            </w:pPr>
            <w:r>
              <w:rPr>
                <w:rFonts w:hint="eastAsia"/>
                <w:color w:val="auto"/>
              </w:rPr>
              <w:t>应急预案及演习</w:t>
            </w:r>
          </w:p>
          <w:p>
            <w:pPr>
              <w:spacing w:line="360" w:lineRule="auto"/>
              <w:rPr>
                <w:color w:val="auto"/>
                <w:szCs w:val="21"/>
              </w:rPr>
            </w:pPr>
            <w:r>
              <w:rPr>
                <w:rFonts w:hint="eastAsia"/>
                <w:color w:val="auto"/>
                <w:szCs w:val="21"/>
              </w:rPr>
              <w:t>现场观察</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bCs w:val="0"/>
                <w:color w:val="auto"/>
                <w:spacing w:val="0"/>
                <w:szCs w:val="21"/>
              </w:rPr>
            </w:pPr>
            <w:r>
              <w:rPr>
                <w:rFonts w:hint="eastAsia" w:ascii="宋体" w:hAnsi="宋体" w:cs="楷体_GB2312"/>
                <w:bCs/>
                <w:color w:val="auto"/>
                <w:spacing w:val="10"/>
                <w:szCs w:val="21"/>
              </w:rPr>
              <w:t>公司已经组织进行了火灾消防演习等应急预案及演习。二阶段详查</w:t>
            </w:r>
          </w:p>
          <w:p>
            <w:pPr>
              <w:spacing w:line="360" w:lineRule="auto"/>
              <w:rPr>
                <w:color w:val="auto"/>
                <w:szCs w:val="21"/>
              </w:rPr>
            </w:pPr>
            <w:r>
              <w:rPr>
                <w:rFonts w:hint="eastAsia"/>
                <w:color w:val="auto"/>
                <w:szCs w:val="21"/>
              </w:rPr>
              <w:t>各部门及项目经理有办公室；工作环境整洁，配备有办公桌椅、电脑、打印机、电话、空调</w:t>
            </w:r>
            <w:r>
              <w:rPr>
                <w:rFonts w:hint="eastAsia"/>
                <w:color w:val="auto"/>
                <w:szCs w:val="21"/>
                <w:lang w:eastAsia="zh-CN"/>
              </w:rPr>
              <w:t>、</w:t>
            </w:r>
            <w:r>
              <w:rPr>
                <w:rFonts w:hint="eastAsia"/>
                <w:color w:val="auto"/>
                <w:szCs w:val="21"/>
              </w:rPr>
              <w:t>灭火器等设施；</w:t>
            </w:r>
          </w:p>
          <w:p>
            <w:pPr>
              <w:spacing w:line="360" w:lineRule="auto"/>
              <w:rPr>
                <w:bCs w:val="0"/>
                <w:color w:val="auto"/>
                <w:spacing w:val="0"/>
                <w:szCs w:val="21"/>
              </w:rPr>
            </w:pPr>
            <w:r>
              <w:rPr>
                <w:rFonts w:hint="eastAsia"/>
                <w:bCs w:val="0"/>
                <w:color w:val="auto"/>
                <w:spacing w:val="0"/>
                <w:szCs w:val="21"/>
              </w:rPr>
              <w:t>运行环境，现场巡查，设备、材料等放置较整齐，基本满足规范要求。</w:t>
            </w:r>
          </w:p>
          <w:p>
            <w:pPr>
              <w:spacing w:line="360" w:lineRule="auto"/>
              <w:rPr>
                <w:color w:val="auto"/>
                <w:szCs w:val="21"/>
              </w:rPr>
            </w:pPr>
            <w:r>
              <w:rPr>
                <w:rFonts w:hint="eastAsia"/>
                <w:color w:val="auto"/>
                <w:szCs w:val="21"/>
              </w:rPr>
              <w:t>二阶段跟踪审核。</w:t>
            </w:r>
          </w:p>
        </w:tc>
        <w:tc>
          <w:tcPr>
            <w:tcW w:w="709" w:type="dxa"/>
          </w:tcPr>
          <w:p>
            <w:pPr>
              <w:rPr>
                <w:color w:val="auto"/>
              </w:rPr>
            </w:pPr>
            <w:r>
              <w:rPr>
                <w:rFonts w:hint="eastAsia"/>
                <w:color w:val="auto"/>
                <w:szCs w:val="21"/>
                <w:lang w:val="en-US" w:eastAsia="zh-CN"/>
              </w:rPr>
              <w:t>OK</w:t>
            </w:r>
          </w:p>
          <w:p>
            <w:pPr>
              <w:pStyle w:val="2"/>
              <w:rPr>
                <w:color w:val="auto"/>
              </w:rPr>
            </w:pPr>
          </w:p>
          <w:p>
            <w:pPr>
              <w:rPr>
                <w:color w:val="auto"/>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hint="eastAsia" w:eastAsia="宋体"/>
                <w:color w:val="auto"/>
                <w:szCs w:val="21"/>
                <w:lang w:val="en-US" w:eastAsia="zh-CN"/>
              </w:rPr>
            </w:pPr>
            <w:r>
              <w:rPr>
                <w:rFonts w:hint="eastAsia" w:ascii="宋体" w:hAnsi="宋体"/>
                <w:szCs w:val="21"/>
              </w:rPr>
              <w:t>二阶段审核</w:t>
            </w:r>
            <w:r>
              <w:rPr>
                <w:rFonts w:hint="eastAsia" w:ascii="宋体" w:hAnsi="宋体"/>
                <w:szCs w:val="21"/>
                <w:lang w:val="en-US" w:eastAsia="zh-CN"/>
              </w:rPr>
              <w:t>条件</w:t>
            </w:r>
          </w:p>
        </w:tc>
        <w:tc>
          <w:tcPr>
            <w:tcW w:w="960" w:type="dxa"/>
          </w:tcPr>
          <w:p>
            <w:pPr>
              <w:spacing w:line="360" w:lineRule="auto"/>
              <w:rPr>
                <w:color w:val="auto"/>
                <w:szCs w:val="21"/>
              </w:rPr>
            </w:pPr>
          </w:p>
        </w:tc>
        <w:tc>
          <w:tcPr>
            <w:tcW w:w="10880" w:type="dxa"/>
          </w:tcPr>
          <w:p>
            <w:pPr>
              <w:spacing w:line="360" w:lineRule="auto"/>
              <w:rPr>
                <w:rFonts w:hint="eastAsia"/>
                <w:color w:val="auto"/>
                <w:szCs w:val="21"/>
              </w:rPr>
            </w:pPr>
            <w:r>
              <w:rPr>
                <w:rFonts w:hint="eastAsia" w:ascii="宋体" w:hAnsi="宋体" w:eastAsia="宋体" w:cs="Times New Roman"/>
                <w:szCs w:val="21"/>
              </w:rPr>
              <w:t>具备二阶段审核的条件</w:t>
            </w:r>
          </w:p>
        </w:tc>
        <w:tc>
          <w:tcPr>
            <w:tcW w:w="709" w:type="dxa"/>
          </w:tcPr>
          <w:p>
            <w:pPr>
              <w:rPr>
                <w:color w:val="auto"/>
                <w:szCs w:val="21"/>
              </w:rPr>
            </w:pPr>
          </w:p>
        </w:tc>
      </w:tr>
    </w:tbl>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50815"/>
    <w:rsid w:val="1CD43DC0"/>
    <w:rsid w:val="215560D3"/>
    <w:rsid w:val="26AD6A7E"/>
    <w:rsid w:val="3800479C"/>
    <w:rsid w:val="39FB798E"/>
    <w:rsid w:val="3E001F2A"/>
    <w:rsid w:val="48180414"/>
    <w:rsid w:val="56E566FD"/>
    <w:rsid w:val="5DC30D39"/>
    <w:rsid w:val="61685A0F"/>
    <w:rsid w:val="64B47CFF"/>
    <w:rsid w:val="75AA18D1"/>
    <w:rsid w:val="76502157"/>
    <w:rsid w:val="78556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uiPriority w:val="99"/>
    <w:rPr>
      <w:rFonts w:ascii="Times New Roman" w:hAnsi="Times New Roman" w:eastAsia="宋体" w:cs="Times New Roman"/>
      <w:sz w:val="18"/>
      <w:szCs w:val="18"/>
    </w:rPr>
  </w:style>
  <w:style w:type="character" w:customStyle="1" w:styleId="11">
    <w:name w:val="批注框文本 Char"/>
    <w:basedOn w:val="8"/>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2021-02-07T07:11:40Z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