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江西顺杰餐饮管理服务有限公司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E：31.04.01</w:t>
            </w:r>
          </w:p>
          <w:p>
            <w:pPr>
              <w:snapToGrid w:val="0"/>
              <w:spacing w:line="280" w:lineRule="exact"/>
              <w:ind w:left="52"/>
              <w:jc w:val="center"/>
              <w:rPr>
                <w:b/>
                <w:sz w:val="20"/>
              </w:rPr>
            </w:pPr>
            <w:r>
              <w:rPr>
                <w:b/>
                <w:sz w:val="20"/>
              </w:rPr>
              <w:t>O：31.04.01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rFonts w:hint="eastAsia"/>
                <w:b/>
                <w:sz w:val="20"/>
                <w:lang w:val="en-US" w:eastAsia="zh-CN"/>
              </w:rPr>
              <w:t>袁良</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E：31.04.01</w:t>
            </w:r>
          </w:p>
          <w:p>
            <w:pPr>
              <w:snapToGrid w:val="0"/>
              <w:spacing w:line="280" w:lineRule="exact"/>
              <w:jc w:val="center"/>
              <w:rPr>
                <w:b/>
                <w:sz w:val="20"/>
              </w:rPr>
            </w:pPr>
            <w:r>
              <w:rPr>
                <w:b/>
                <w:sz w:val="20"/>
              </w:rPr>
              <w:t>O：31.04.01</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褚敏杰</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left"/>
              <w:rPr>
                <w:b/>
                <w:sz w:val="20"/>
              </w:rPr>
            </w:pPr>
            <w:r>
              <w:rPr>
                <w:rFonts w:hint="eastAsia"/>
                <w:b w:val="0"/>
                <w:bCs/>
                <w:sz w:val="20"/>
                <w:szCs w:val="22"/>
                <w:lang w:val="en-US" w:eastAsia="zh-CN"/>
              </w:rPr>
              <w:t>采购--来料检查---残留检测---收货---分拣---留样---出货检查---入库保鲜---送货运输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360" w:lineRule="auto"/>
              <w:jc w:val="left"/>
              <w:rPr>
                <w:rFonts w:hint="eastAsia"/>
                <w:b w:val="0"/>
                <w:bCs/>
                <w:sz w:val="20"/>
                <w:szCs w:val="22"/>
                <w:lang w:val="en-US" w:eastAsia="zh-CN"/>
              </w:rPr>
            </w:pPr>
            <w:r>
              <w:rPr>
                <w:rFonts w:hint="eastAsia"/>
                <w:b w:val="0"/>
                <w:bCs/>
                <w:sz w:val="20"/>
                <w:szCs w:val="22"/>
                <w:lang w:val="en-US" w:eastAsia="zh-CN"/>
              </w:rPr>
              <w:t>确定重要环境因素3项：火灾、固废</w:t>
            </w:r>
          </w:p>
          <w:p>
            <w:pPr>
              <w:snapToGrid w:val="0"/>
              <w:spacing w:line="360" w:lineRule="auto"/>
              <w:jc w:val="left"/>
              <w:rPr>
                <w:b/>
                <w:sz w:val="20"/>
              </w:rPr>
            </w:pPr>
            <w:r>
              <w:rPr>
                <w:rFonts w:hint="eastAsia"/>
                <w:b w:val="0"/>
                <w:bCs/>
                <w:sz w:val="20"/>
                <w:szCs w:val="22"/>
                <w:lang w:val="en-US" w:eastAsia="zh-CN"/>
              </w:rPr>
              <w:t>控制措施主要有：固废分类存放、办公危废交耗材供应单位，定期监测、日常培训、消防配备消防器材等措施。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360" w:lineRule="auto"/>
              <w:jc w:val="left"/>
              <w:rPr>
                <w:rFonts w:hint="eastAsia"/>
                <w:b w:val="0"/>
                <w:bCs/>
                <w:sz w:val="20"/>
              </w:rPr>
            </w:pPr>
            <w:r>
              <w:rPr>
                <w:rFonts w:hint="eastAsia"/>
                <w:b w:val="0"/>
                <w:bCs/>
                <w:sz w:val="20"/>
              </w:rPr>
              <w:t>识别出不可接受风险3项，触电、火灾、交通意外伤害</w:t>
            </w:r>
          </w:p>
          <w:p>
            <w:pPr>
              <w:snapToGrid w:val="0"/>
              <w:spacing w:line="360" w:lineRule="auto"/>
              <w:jc w:val="left"/>
              <w:rPr>
                <w:b/>
                <w:sz w:val="20"/>
              </w:rPr>
            </w:pPr>
            <w:r>
              <w:rPr>
                <w:rFonts w:hint="eastAsia"/>
                <w:b w:val="0"/>
                <w:bCs/>
                <w:sz w:val="20"/>
              </w:rPr>
              <w:t>部门日常办公活动中，加强用电安全，防止触电事故和火灾事故的发生，用毕电脑关闭电源，最后离开部门人员随手关灯。加强驾驶员的安全教育，确保证照齐全，按规定定期检查车辆，保证运输安全。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360" w:lineRule="auto"/>
              <w:jc w:val="left"/>
              <w:rPr>
                <w:b/>
                <w:sz w:val="20"/>
              </w:rPr>
            </w:pPr>
            <w:r>
              <w:rPr>
                <w:rFonts w:hint="eastAsia"/>
                <w:b w:val="0"/>
                <w:bCs/>
                <w:sz w:val="20"/>
                <w:szCs w:val="22"/>
              </w:rPr>
              <w:t>中华人民共和国环境保护法</w:t>
            </w:r>
            <w:r>
              <w:rPr>
                <w:rFonts w:hint="eastAsia"/>
                <w:b w:val="0"/>
                <w:bCs/>
                <w:sz w:val="20"/>
                <w:szCs w:val="22"/>
                <w:lang w:eastAsia="zh-CN"/>
              </w:rPr>
              <w:t>、</w:t>
            </w:r>
            <w:r>
              <w:rPr>
                <w:rFonts w:hint="eastAsia"/>
                <w:b w:val="0"/>
                <w:bCs/>
                <w:sz w:val="20"/>
                <w:szCs w:val="22"/>
              </w:rPr>
              <w:t>中华人民共和国水污染防治法</w:t>
            </w:r>
            <w:r>
              <w:rPr>
                <w:rFonts w:hint="eastAsia"/>
                <w:b w:val="0"/>
                <w:bCs/>
                <w:sz w:val="20"/>
                <w:szCs w:val="22"/>
                <w:lang w:eastAsia="zh-CN"/>
              </w:rPr>
              <w:t>、</w:t>
            </w:r>
            <w:r>
              <w:rPr>
                <w:rFonts w:hint="eastAsia"/>
                <w:b w:val="0"/>
                <w:bCs/>
                <w:sz w:val="20"/>
                <w:szCs w:val="22"/>
              </w:rPr>
              <w:t>中华人民共和国大气污染防治法</w:t>
            </w:r>
            <w:r>
              <w:rPr>
                <w:rFonts w:hint="eastAsia"/>
                <w:b w:val="0"/>
                <w:bCs/>
                <w:sz w:val="20"/>
                <w:szCs w:val="22"/>
                <w:lang w:eastAsia="zh-CN"/>
              </w:rPr>
              <w:t>、</w:t>
            </w:r>
            <w:r>
              <w:rPr>
                <w:rFonts w:hint="eastAsia"/>
                <w:b w:val="0"/>
                <w:bCs/>
                <w:sz w:val="20"/>
                <w:szCs w:val="22"/>
              </w:rPr>
              <w:t>中华人民共和国固体废弃物污染环境防治法</w:t>
            </w:r>
            <w:r>
              <w:rPr>
                <w:rFonts w:hint="eastAsia"/>
                <w:b w:val="0"/>
                <w:bCs/>
                <w:sz w:val="20"/>
                <w:szCs w:val="22"/>
                <w:lang w:eastAsia="zh-CN"/>
              </w:rPr>
              <w:t>、中华人民共和国道路交通安全法、中华人民共和国传染病防治法、劳动防护用品管理规定、中华人民共和国职业病防治法、中华人民共和国安全生产法、中华人民共和国消防法、</w:t>
            </w:r>
            <w:r>
              <w:rPr>
                <w:rFonts w:hint="eastAsia"/>
                <w:b w:val="0"/>
                <w:bCs/>
                <w:sz w:val="20"/>
                <w:szCs w:val="22"/>
              </w:rPr>
              <w:t>农副产品的配送参考</w:t>
            </w:r>
            <w:r>
              <w:rPr>
                <w:rFonts w:hint="eastAsia"/>
                <w:b w:val="0"/>
                <w:bCs/>
                <w:sz w:val="20"/>
                <w:szCs w:val="22"/>
                <w:lang w:eastAsia="zh-CN"/>
              </w:rPr>
              <w:t>食品安全法实施条例、江西省食品药品监督管理局办公室关于转发加强冷藏冷冻食品经营监督管理的通知、江西省食品药品监督管理局办公室转发关于进一步加强猪肉等动物产品质量安全监管工作通知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left"/>
              <w:rPr>
                <w:b/>
                <w:sz w:val="20"/>
              </w:rPr>
            </w:pPr>
            <w:r>
              <w:rPr>
                <w:rFonts w:hint="eastAsia"/>
                <w:b w:val="0"/>
                <w:bCs/>
                <w:sz w:val="20"/>
                <w:szCs w:val="22"/>
                <w:lang w:val="en-US" w:eastAsia="zh-CN"/>
              </w:rPr>
              <w:t>公司配备残农快速测试仪，</w:t>
            </w:r>
            <w:bookmarkStart w:id="6" w:name="_GoBack"/>
            <w:bookmarkEnd w:id="6"/>
            <w:r>
              <w:rPr>
                <w:rFonts w:hint="eastAsia"/>
                <w:b w:val="0"/>
                <w:bCs/>
                <w:sz w:val="20"/>
                <w:szCs w:val="22"/>
                <w:lang w:val="en-US" w:eastAsia="zh-CN"/>
              </w:rPr>
              <w:t>定期送地方政府部门检定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ascii="宋体"/>
                <w:b/>
                <w:sz w:val="18"/>
                <w:szCs w:val="18"/>
              </w:rPr>
              <w:drawing>
                <wp:anchor distT="0" distB="0" distL="114300" distR="114300" simplePos="0" relativeHeight="251660288" behindDoc="0" locked="0" layoutInCell="1" allowOverlap="1">
                  <wp:simplePos x="0" y="0"/>
                  <wp:positionH relativeFrom="column">
                    <wp:posOffset>26670</wp:posOffset>
                  </wp:positionH>
                  <wp:positionV relativeFrom="paragraph">
                    <wp:posOffset>242570</wp:posOffset>
                  </wp:positionV>
                  <wp:extent cx="690245" cy="520065"/>
                  <wp:effectExtent l="0" t="0" r="14605" b="13335"/>
                  <wp:wrapNone/>
                  <wp:docPr id="1" name="图片 1" descr="签名-袁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袁良"/>
                          <pic:cNvPicPr>
                            <a:picLocks noChangeAspect="1"/>
                          </pic:cNvPicPr>
                        </pic:nvPicPr>
                        <pic:blipFill>
                          <a:blip r:embed="rId5">
                            <a:clrChange>
                              <a:clrFrom>
                                <a:srgbClr val="BCB7B4">
                                  <a:alpha val="100000"/>
                                </a:srgbClr>
                              </a:clrFrom>
                              <a:clrTo>
                                <a:srgbClr val="BCB7B4">
                                  <a:alpha val="100000"/>
                                  <a:alpha val="0"/>
                                </a:srgbClr>
                              </a:clrTo>
                            </a:clrChange>
                          </a:blip>
                          <a:stretch>
                            <a:fillRect/>
                          </a:stretch>
                        </pic:blipFill>
                        <pic:spPr>
                          <a:xfrm>
                            <a:off x="0" y="0"/>
                            <a:ext cx="690245" cy="520065"/>
                          </a:xfrm>
                          <a:prstGeom prst="rect">
                            <a:avLst/>
                          </a:prstGeom>
                        </pic:spPr>
                      </pic:pic>
                    </a:graphicData>
                  </a:graphic>
                </wp:anchor>
              </w:drawing>
            </w:r>
            <w:r>
              <w:rPr>
                <w:rFonts w:ascii="宋体"/>
                <w:b/>
                <w:sz w:val="18"/>
                <w:szCs w:val="18"/>
              </w:rPr>
              <w:drawing>
                <wp:anchor distT="0" distB="0" distL="114300" distR="114300" simplePos="0" relativeHeight="251659264" behindDoc="0" locked="0" layoutInCell="1" allowOverlap="1">
                  <wp:simplePos x="0" y="0"/>
                  <wp:positionH relativeFrom="column">
                    <wp:posOffset>2680970</wp:posOffset>
                  </wp:positionH>
                  <wp:positionV relativeFrom="paragraph">
                    <wp:posOffset>379095</wp:posOffset>
                  </wp:positionV>
                  <wp:extent cx="779145" cy="469900"/>
                  <wp:effectExtent l="0" t="0" r="1905" b="635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79145" cy="469900"/>
                          </a:xfrm>
                          <a:prstGeom prst="rect">
                            <a:avLst/>
                          </a:prstGeom>
                        </pic:spPr>
                      </pic:pic>
                    </a:graphicData>
                  </a:graphic>
                </wp:anchor>
              </w:drawing>
            </w:r>
            <w:r>
              <w:rPr>
                <w:rFonts w:hint="eastAsia"/>
                <w:b/>
                <w:sz w:val="20"/>
                <w:lang w:val="en-US" w:eastAsia="zh-CN"/>
              </w:rPr>
              <w:t>/</w:t>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2021.2.4</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2021.2.4</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8F5AF0"/>
    <w:rsid w:val="5A4370E6"/>
    <w:rsid w:val="6DA1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2</TotalTime>
  <ScaleCrop>false</ScaleCrop>
  <LinksUpToDate>false</LinksUpToDate>
  <CharactersWithSpaces>312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lenovo1018</cp:lastModifiedBy>
  <dcterms:modified xsi:type="dcterms:W3CDTF">2021-02-06T09:54:08Z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