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w:t>
      </w:r>
      <w:r>
        <w:rPr>
          <w:rFonts w:hint="eastAsia" w:ascii="楷体" w:hAnsi="楷体" w:eastAsia="楷体"/>
          <w:color w:val="000000"/>
          <w:sz w:val="28"/>
          <w:szCs w:val="28"/>
          <w:lang w:val="en-US" w:eastAsia="zh-CN"/>
        </w:rPr>
        <w:t>08</w:t>
      </w:r>
      <w:r>
        <w:rPr>
          <w:rFonts w:hint="eastAsia" w:ascii="楷体" w:hAnsi="楷体" w:eastAsia="楷体"/>
          <w:color w:val="000000"/>
          <w:sz w:val="28"/>
          <w:szCs w:val="28"/>
        </w:rPr>
        <w:t>6-2021-E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枣阳市润图化工有限责任公司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b/>
                <w:color w:val="000000" w:themeColor="text1"/>
                <w:sz w:val="20"/>
                <w:szCs w:val="20"/>
              </w:rPr>
              <w:t>010-51095332</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p>
        </w:tc>
        <w:tc>
          <w:tcPr>
            <w:tcW w:w="992" w:type="dxa"/>
            <w:vAlign w:val="center"/>
          </w:tcPr>
          <w:p>
            <w:pPr>
              <w:spacing w:line="240" w:lineRule="exact"/>
              <w:jc w:val="center"/>
              <w:rPr>
                <w:rFonts w:hint="eastAsia" w:eastAsia="宋体"/>
                <w:b/>
                <w:color w:val="000000" w:themeColor="text1"/>
                <w:sz w:val="20"/>
                <w:szCs w:val="20"/>
                <w:lang w:val="en-US" w:eastAsia="zh-CN"/>
              </w:rPr>
            </w:pPr>
          </w:p>
        </w:tc>
        <w:tc>
          <w:tcPr>
            <w:tcW w:w="1216" w:type="dxa"/>
            <w:vAlign w:val="center"/>
          </w:tcPr>
          <w:p>
            <w:pPr>
              <w:spacing w:line="240" w:lineRule="exact"/>
              <w:jc w:val="center"/>
              <w:rPr>
                <w:rFonts w:hint="eastAsia" w:eastAsia="宋体"/>
                <w:b/>
                <w:color w:val="000000" w:themeColor="text1"/>
                <w:sz w:val="20"/>
                <w:szCs w:val="20"/>
                <w:lang w:val="en-US" w:eastAsia="zh-CN"/>
              </w:rPr>
            </w:pPr>
          </w:p>
        </w:tc>
        <w:tc>
          <w:tcPr>
            <w:tcW w:w="3478" w:type="dxa"/>
            <w:gridSpan w:val="2"/>
            <w:vAlign w:val="center"/>
          </w:tcPr>
          <w:p>
            <w:pPr>
              <w:spacing w:line="240" w:lineRule="exact"/>
              <w:jc w:val="center"/>
              <w:rPr>
                <w:rFonts w:hint="default" w:eastAsia="宋体"/>
                <w:b/>
                <w:color w:val="000000"/>
                <w:sz w:val="20"/>
                <w:szCs w:val="20"/>
                <w:lang w:val="en-US" w:eastAsia="zh-CN"/>
              </w:rPr>
            </w:pP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2"/>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401"/>
        <w:gridCol w:w="336"/>
        <w:gridCol w:w="1100"/>
        <w:gridCol w:w="566"/>
        <w:gridCol w:w="198"/>
        <w:gridCol w:w="127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37"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枣阳市润图化工有限责任公司</w:t>
            </w:r>
          </w:p>
        </w:tc>
        <w:tc>
          <w:tcPr>
            <w:tcW w:w="2036"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537"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枣阳市太平镇草店街寺沙路东侧</w:t>
            </w:r>
          </w:p>
        </w:tc>
        <w:tc>
          <w:tcPr>
            <w:tcW w:w="764" w:type="dxa"/>
            <w:gridSpan w:val="2"/>
            <w:vMerge w:val="restart"/>
            <w:vAlign w:val="center"/>
          </w:tcPr>
          <w:p>
            <w:pPr>
              <w:spacing w:line="280" w:lineRule="exact"/>
              <w:jc w:val="both"/>
              <w:rPr>
                <w:rFonts w:hint="default" w:ascii="Times New Roman" w:hAnsi="Times New Roman" w:eastAsia="宋体" w:cs="Times New Roman"/>
                <w:b/>
                <w:color w:val="auto"/>
                <w:kern w:val="2"/>
                <w:sz w:val="20"/>
                <w:szCs w:val="20"/>
                <w:lang w:val="en-US" w:eastAsia="zh-CN" w:bidi="ar-SA"/>
              </w:rPr>
            </w:pPr>
            <w:r>
              <w:rPr>
                <w:rFonts w:hint="eastAsia"/>
                <w:sz w:val="21"/>
                <w:szCs w:val="21"/>
              </w:rPr>
              <w:t>邮编</w:t>
            </w:r>
          </w:p>
          <w:p>
            <w:pPr>
              <w:spacing w:line="280" w:lineRule="exact"/>
              <w:jc w:val="both"/>
              <w:rPr>
                <w:rFonts w:hint="default" w:ascii="Times New Roman" w:hAnsi="Times New Roman" w:cs="Times New Roman"/>
                <w:b/>
                <w:color w:val="000000" w:themeColor="text1"/>
                <w:sz w:val="20"/>
                <w:szCs w:val="20"/>
              </w:rPr>
            </w:pP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537"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枣阳市太平镇草店街寺沙路东侧</w:t>
            </w:r>
          </w:p>
        </w:tc>
        <w:tc>
          <w:tcPr>
            <w:tcW w:w="764"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spacing w:line="28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陈帝恒</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43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0710-6558518</w:t>
            </w:r>
          </w:p>
        </w:tc>
        <w:tc>
          <w:tcPr>
            <w:tcW w:w="76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传真"/>
            <w:bookmarkEnd w:id="5"/>
            <w:r>
              <w:rPr>
                <w:rFonts w:hint="eastAsia"/>
                <w:sz w:val="21"/>
                <w:szCs w:val="21"/>
              </w:rPr>
              <w:t>传真</w:t>
            </w: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spacing w:line="280" w:lineRule="exact"/>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陈世海</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43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最高管理者"/>
            <w:bookmarkEnd w:id="6"/>
            <w:r>
              <w:rPr>
                <w:rFonts w:hint="eastAsia"/>
                <w:b w:val="0"/>
                <w:bCs/>
                <w:color w:val="000000" w:themeColor="text1"/>
                <w:sz w:val="22"/>
                <w:szCs w:val="22"/>
              </w:rPr>
              <w:t>陈凯</w:t>
            </w:r>
          </w:p>
        </w:tc>
        <w:tc>
          <w:tcPr>
            <w:tcW w:w="76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872361857@qq.com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hint="eastAsia" w:ascii="宋体" w:hAnsi="宋体"/>
                <w:szCs w:val="21"/>
                <w:lang w:eastAsia="zh-CN"/>
              </w:rPr>
              <w:t>电泳漆的生产</w:t>
            </w:r>
            <w:r>
              <w:rPr>
                <w:rFonts w:hint="eastAsia" w:ascii="宋体" w:hAnsi="宋体"/>
                <w:szCs w:val="21"/>
              </w:rPr>
              <w:t>所涉及场所的相关环境管理活动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437"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12.03.00</w:t>
            </w:r>
          </w:p>
        </w:tc>
        <w:tc>
          <w:tcPr>
            <w:tcW w:w="18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656"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2020年10月10日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质技部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b w:val="0"/>
                <w:bCs w:val="0"/>
                <w:sz w:val="21"/>
                <w:szCs w:val="21"/>
              </w:rPr>
              <w:t>电泳漆的生产</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cs="宋体"/>
                <w:lang w:val="en-US" w:eastAsia="zh-CN"/>
              </w:rPr>
            </w:pPr>
            <w:r>
              <w:t>1.</w:t>
            </w:r>
            <w:r>
              <w:rPr>
                <w:rFonts w:hint="eastAsia"/>
                <w:lang w:val="en-US" w:eastAsia="zh-CN"/>
              </w:rPr>
              <w:t xml:space="preserve"> </w:t>
            </w:r>
            <w:r>
              <w:rPr>
                <w:rFonts w:hint="eastAsia" w:cs="宋体"/>
              </w:rPr>
              <w:t>管理方针：</w:t>
            </w:r>
            <w:r>
              <w:rPr>
                <w:rFonts w:hint="eastAsia" w:cs="宋体"/>
                <w:lang w:eastAsia="zh-CN"/>
              </w:rPr>
              <w:t>环保至重、市场至先、效益至上、预防污染</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行政部组织全体部门对所涉及的环境因素进行识别，并评价出重要环境因素，提供环境因素评价记录，目前环境因素识别基本完整，评价的重要环境因素有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废气的排放、噪声排放、废水排放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eastAsia="宋体" w:cs="Times New Roman"/>
                <w:kern w:val="2"/>
                <w:sz w:val="21"/>
                <w:szCs w:val="21"/>
                <w:lang w:val="en-US" w:eastAsia="zh-CN" w:bidi="ar-SA"/>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p>
          <w:p>
            <w:pPr>
              <w:numPr>
                <w:ilvl w:val="0"/>
                <w:numId w:val="0"/>
              </w:numPr>
              <w:rPr>
                <w:rFonts w:hint="eastAsia" w:cs="宋体"/>
                <w:lang w:eastAsia="zh-CN"/>
              </w:rPr>
            </w:pPr>
            <w:r>
              <w:rPr>
                <w:rFonts w:hint="eastAsia" w:ascii="Times New Roman" w:hAnsi="Times New Roman" w:cs="宋体"/>
              </w:rPr>
              <w:t>公司环境目标</w:t>
            </w:r>
            <w:r>
              <w:rPr>
                <w:rFonts w:hint="eastAsia" w:cs="宋体"/>
                <w:lang w:eastAsia="zh-CN"/>
              </w:rPr>
              <w:t>：1、产生的固体废物分类收集,危险废弃物统一收集、统一处理，可回收固体废弃物回收率85%以上</w:t>
            </w:r>
          </w:p>
          <w:p>
            <w:pPr>
              <w:numPr>
                <w:ilvl w:val="0"/>
                <w:numId w:val="0"/>
              </w:numPr>
              <w:rPr>
                <w:rFonts w:hint="eastAsia" w:cs="宋体"/>
                <w:lang w:eastAsia="zh-CN"/>
              </w:rPr>
            </w:pPr>
            <w:r>
              <w:rPr>
                <w:rFonts w:hint="eastAsia" w:cs="宋体"/>
                <w:lang w:eastAsia="zh-CN"/>
              </w:rPr>
              <w:t>2、减少对环境的影响：厂界噪声控制在《工业企业厂界噪声排放标准》GB12348-2008中2级和4a标准限值之内；废水污染物控制在《污水综合排放标准》GB8978-1996 表4中一级限值之内；废气排放《大气污染物综合排放标准》GB16297-1996二级标准限值之内。</w:t>
            </w:r>
          </w:p>
          <w:p>
            <w:pPr>
              <w:numPr>
                <w:ilvl w:val="0"/>
                <w:numId w:val="0"/>
              </w:numPr>
              <w:rPr>
                <w:rFonts w:hint="eastAsia" w:ascii="Times New Roman" w:hAnsi="Times New Roman" w:cs="宋体"/>
                <w:lang w:eastAsia="zh-CN"/>
              </w:rPr>
            </w:pPr>
            <w:r>
              <w:rPr>
                <w:rFonts w:hint="eastAsia" w:cs="宋体"/>
                <w:lang w:eastAsia="zh-CN"/>
              </w:rPr>
              <w:t>3、杜绝火灾事故。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行政部</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lang w:val="en-US" w:eastAsia="zh-CN"/>
              </w:rPr>
              <w:t>反应釜、磨砂机、分散机、冷却塔</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宋体" w:hAnsi="宋体" w:eastAsia="宋体"/>
                <w:b/>
                <w:color w:val="000000" w:themeColor="text1"/>
                <w:sz w:val="20"/>
                <w:szCs w:val="20"/>
                <w:lang w:val="en-US" w:eastAsia="zh-CN"/>
              </w:rPr>
            </w:pPr>
            <w:r>
              <w:rPr>
                <w:rFonts w:hint="eastAsia" w:ascii="Times New Roman" w:hAnsi="Times New Roman" w:eastAsia="宋体" w:cs="Times New Roman"/>
                <w:szCs w:val="21"/>
                <w:lang w:val="en-US" w:eastAsia="zh-CN"/>
              </w:rPr>
              <w:t>公司</w:t>
            </w:r>
            <w:r>
              <w:rPr>
                <w:rFonts w:hint="default" w:ascii="Times New Roman" w:hAnsi="Times New Roman" w:eastAsia="宋体" w:cs="Times New Roman"/>
                <w:szCs w:val="21"/>
              </w:rPr>
              <w:t>自建办公楼一座，建筑面积450平米，车间</w:t>
            </w:r>
            <w:r>
              <w:rPr>
                <w:rFonts w:hint="eastAsia" w:cs="Times New Roman"/>
                <w:szCs w:val="21"/>
                <w:lang w:val="en-US" w:eastAsia="zh-CN"/>
              </w:rPr>
              <w:t>面积5000平米，</w:t>
            </w:r>
            <w:r>
              <w:rPr>
                <w:rFonts w:hint="default" w:ascii="Times New Roman" w:hAnsi="Times New Roman" w:eastAsia="宋体" w:cs="Times New Roman"/>
                <w:szCs w:val="21"/>
              </w:rPr>
              <w:t>布局合理，场所卫生干净整洁，工作环境良好</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rPr>
              <w:t>《污水综合排放标准》</w:t>
            </w:r>
            <w:r>
              <w:rPr>
                <w:rFonts w:hint="eastAsia"/>
                <w:sz w:val="21"/>
                <w:szCs w:val="21"/>
              </w:rPr>
              <w:t>GB/T24001-2016等法规要求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除尘器、灭火器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sz w:val="21"/>
                <w:szCs w:val="21"/>
                <w:lang w:val="en-US" w:eastAsia="zh-CN"/>
              </w:rPr>
            </w:pPr>
            <w:r>
              <w:rPr>
                <w:rFonts w:hint="eastAsia" w:cs="宋体"/>
              </w:rPr>
              <w:t>管理方针：</w:t>
            </w:r>
            <w:r>
              <w:rPr>
                <w:rFonts w:hint="eastAsia" w:cs="宋体"/>
                <w:lang w:eastAsia="zh-CN"/>
              </w:rPr>
              <w:t>环保至重、市场至先、效益至上、预防污染</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提供有环境检测报告、固废处置记录、相关方告知书及发放记录，未提供对产品运输外包方施加环境方面影响的证据。</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21年1月15日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1</w:t>
            </w:r>
            <w:r>
              <w:rPr>
                <w:rFonts w:hint="eastAsia" w:cs="宋体"/>
              </w:rPr>
              <w:t>月</w:t>
            </w:r>
            <w:r>
              <w:rPr>
                <w:rFonts w:hint="eastAsia"/>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提供2020年12月8日由湖北科远环境检测有限公司对噪声、废气、废水的检测，检测结论达标，报告编号：0071-1，详见附件.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书</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验收意见</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枣阳市润图化工有限责任公司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Cs w:val="21"/>
              </w:rPr>
            </w:pPr>
            <w:r>
              <w:rPr>
                <w:rFonts w:hint="eastAsia" w:ascii="宋体" w:hAnsi="宋体"/>
                <w:szCs w:val="21"/>
                <w:lang w:eastAsia="zh-CN"/>
              </w:rPr>
              <w:t>电泳漆的生产</w:t>
            </w:r>
            <w:r>
              <w:rPr>
                <w:rFonts w:hint="eastAsia" w:ascii="宋体" w:hAnsi="宋体"/>
                <w:szCs w:val="21"/>
              </w:rPr>
              <w:t>所涉及场所的相关环境管理活动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hint="eastAsia"/>
          <w:b/>
          <w:color w:val="000000" w:themeColor="text1"/>
          <w:sz w:val="26"/>
          <w:szCs w:val="26"/>
        </w:rPr>
      </w:pPr>
    </w:p>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r>
        <w:rPr>
          <w:rFonts w:hint="eastAsia" w:cs="Times New Roman"/>
          <w:b/>
          <w:color w:val="000000" w:themeColor="text1"/>
          <w:sz w:val="26"/>
          <w:szCs w:val="26"/>
          <w:lang w:eastAsia="zh-CN"/>
        </w:rPr>
        <w:t>：</w:t>
      </w:r>
      <w:r>
        <w:rPr>
          <w:rFonts w:hint="eastAsia" w:cs="Times New Roman"/>
          <w:b w:val="0"/>
          <w:bCs/>
          <w:color w:val="000000" w:themeColor="text1"/>
          <w:sz w:val="21"/>
          <w:szCs w:val="21"/>
          <w:lang w:val="en-US" w:eastAsia="zh-CN"/>
        </w:rPr>
        <w:t>远程审核，审核发现受限。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rFonts w:hint="eastAsia"/>
          <w:b/>
          <w:color w:val="000000" w:themeColor="text1"/>
          <w:sz w:val="26"/>
          <w:szCs w:val="26"/>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val="0"/>
          <w:bCs/>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 xml:space="preserve">2. </w:t>
      </w:r>
      <w:bookmarkStart w:id="11" w:name="_GoBack"/>
      <w:bookmarkEnd w:id="11"/>
      <w:r>
        <w:rPr>
          <w:rFonts w:hint="eastAsia"/>
          <w:b/>
          <w:color w:val="000000" w:themeColor="text1"/>
          <w:szCs w:val="21"/>
        </w:rPr>
        <w:t>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13</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十七、与末次会议结论不同处的说明和其他说明(技术委员会填写)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58876D9"/>
    <w:multiLevelType w:val="singleLevel"/>
    <w:tmpl w:val="058876D9"/>
    <w:lvl w:ilvl="0" w:tentative="0">
      <w:start w:val="1"/>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745B7"/>
    <w:rsid w:val="19E606C0"/>
    <w:rsid w:val="235173E3"/>
    <w:rsid w:val="3C9A0372"/>
    <w:rsid w:val="434127CB"/>
    <w:rsid w:val="60E54F6B"/>
    <w:rsid w:val="63067D25"/>
    <w:rsid w:val="647437DC"/>
    <w:rsid w:val="73291DE8"/>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11</TotalTime>
  <ScaleCrop>false</ScaleCrop>
  <LinksUpToDate>false</LinksUpToDate>
  <CharactersWithSpaces>5143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2021-03-15T07:26:47Z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556ED485AF4340278C2555DD1E470260</vt:lpwstr>
  </property>
</Properties>
</file>