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2735" cy="8595995"/>
            <wp:effectExtent l="0" t="0" r="12065" b="1905"/>
            <wp:docPr id="3" name="图片 3" descr="二次审核记录(2)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二次审核记录(2)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859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37"/>
        <w:gridCol w:w="1216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枣阳市润图化工有限责任公司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枣阳市太平镇草店街寺沙路东侧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03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陈帝恒</w:t>
            </w:r>
            <w:bookmarkEnd w:id="2"/>
          </w:p>
        </w:tc>
        <w:tc>
          <w:tcPr>
            <w:tcW w:w="121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0710-6558518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441206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03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21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872361857@qq.com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03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0086-2021-E</w:t>
            </w:r>
            <w:bookmarkEnd w:id="8"/>
          </w:p>
        </w:tc>
        <w:tc>
          <w:tcPr>
            <w:tcW w:w="122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电泳漆的生产所涉及场所的相关环境管理活动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12.03.00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2021年03月08日 上午至2021年03月09日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207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207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12.03.00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11580" cy="58356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2021.3.1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2021.3.7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2021.3.7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73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2021.3.8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辨识、风险评价；沟通、参与、协商；合规性评价；监视和测量总则；管理评审；总则；持续改进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4.1/4.2/4.3/4.4/5.1.1/5.1.2/5.2/5.3/6.1/6.2/7.1/9.1.1/9.3/10.1/10.3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环境因素识别评价；文件化信息；人员；能力；意识；沟通；运行控制；应急准备和响应；合规义务；绩效的监视和测量；合规性评价；事件、不合格及纠正和预防措施控制；内部审核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6.1.2/6.1.3/7.2/7.3/7.4/7.5/8.1/8.2/9.1/9.2/10.2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2021.3.9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质技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ISC-22240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83EAB"/>
    <w:rsid w:val="02BA705F"/>
    <w:rsid w:val="7A1F6B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2021-03-13T03:09:49Z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42D1D3532E4A41A7A131A762280E9771</vt:lpwstr>
  </property>
</Properties>
</file>