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rFonts w:hint="eastAsia"/>
          <w:szCs w:val="44"/>
          <w:u w:val="single"/>
        </w:rPr>
        <w:t>0075-2021-EO</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0" w:name="组织名称"/>
      <w:r>
        <w:rPr>
          <w:b w:val="0"/>
          <w:bCs/>
          <w:color w:val="000000" w:themeColor="text1"/>
          <w:sz w:val="22"/>
          <w:szCs w:val="22"/>
          <w:u w:val="single"/>
        </w:rPr>
        <w:t>北京唯恩传感技术有限公司</w:t>
      </w:r>
      <w:bookmarkEnd w:id="0"/>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1" w:name="组织名称英"/>
      <w:r>
        <w:rPr>
          <w:b w:val="0"/>
          <w:bCs/>
          <w:color w:val="000000" w:themeColor="text1"/>
          <w:sz w:val="22"/>
          <w:szCs w:val="22"/>
          <w:u w:val="single"/>
        </w:rPr>
        <w:t>BEI JING WEIEN SENSING TECHNOLOGY CO., LTD.</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2" w:name="注册地址"/>
      <w:r>
        <w:rPr>
          <w:rFonts w:hint="eastAsia"/>
          <w:b w:val="0"/>
          <w:bCs/>
          <w:color w:val="000000" w:themeColor="text1"/>
          <w:sz w:val="22"/>
          <w:szCs w:val="22"/>
        </w:rPr>
        <w:t>北京市朝阳区利泽中园106号楼2层A208</w:t>
      </w:r>
      <w:bookmarkEnd w:id="2"/>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3" w:name="注册邮编"/>
      <w:r>
        <w:rPr>
          <w:b w:val="0"/>
          <w:bCs/>
          <w:color w:val="000000" w:themeColor="text1"/>
          <w:sz w:val="22"/>
          <w:szCs w:val="22"/>
          <w:u w:val="single"/>
        </w:rPr>
        <w:t>100102</w:t>
      </w:r>
      <w:bookmarkEnd w:id="3"/>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(英文)：A208, 2nd floor, building 106, Lize Zhongyuan, Chaoyang District, Beijing</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4" w:name="生产地址"/>
      <w:r>
        <w:rPr>
          <w:rFonts w:hint="eastAsia"/>
          <w:b w:val="0"/>
          <w:bCs/>
          <w:color w:val="000000" w:themeColor="text1"/>
          <w:sz w:val="22"/>
          <w:szCs w:val="22"/>
        </w:rPr>
        <w:t>北京市朝阳区利泽中园106号楼2层A208</w:t>
      </w:r>
      <w:bookmarkEnd w:id="4"/>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5" w:name="生产邮编"/>
      <w:r>
        <w:rPr>
          <w:b w:val="0"/>
          <w:bCs/>
          <w:color w:val="000000" w:themeColor="text1"/>
          <w:sz w:val="22"/>
          <w:szCs w:val="22"/>
        </w:rPr>
        <w:t>100102</w:t>
      </w:r>
      <w:bookmarkEnd w:id="5"/>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(英文)：A208, 2nd floor, building 106, Lize Zhongyuan, Chaoyang District, Beijing</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6" w:name="机构代码"/>
      <w:r>
        <w:rPr>
          <w:rFonts w:hint="eastAsia"/>
          <w:b w:val="0"/>
          <w:bCs/>
          <w:color w:val="000000" w:themeColor="text1"/>
          <w:sz w:val="22"/>
          <w:szCs w:val="22"/>
        </w:rPr>
        <w:t>91110105MA01DP9T1D</w:t>
      </w:r>
      <w:bookmarkEnd w:id="6"/>
      <w:r>
        <w:rPr>
          <w:rFonts w:hint="eastAsia"/>
          <w:b w:val="0"/>
          <w:bCs/>
          <w:color w:val="000000" w:themeColor="text1"/>
          <w:sz w:val="22"/>
          <w:szCs w:val="22"/>
          <w:lang w:eastAsia="zh-CN"/>
        </w:rPr>
        <w:t>，</w:t>
      </w:r>
      <w:r>
        <w:rPr>
          <w:rFonts w:hint="eastAsia"/>
          <w:b w:val="0"/>
          <w:bCs/>
          <w:color w:val="000000" w:themeColor="text1"/>
          <w:sz w:val="22"/>
          <w:szCs w:val="22"/>
        </w:rPr>
        <w:t>传真：</w:t>
      </w:r>
      <w:bookmarkStart w:id="7" w:name="联系人传真"/>
      <w:bookmarkEnd w:id="7"/>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8" w:name="联系人电话"/>
      <w:r>
        <w:rPr>
          <w:b w:val="0"/>
          <w:bCs/>
          <w:color w:val="000000" w:themeColor="text1"/>
          <w:sz w:val="22"/>
          <w:szCs w:val="22"/>
          <w:u w:val="single"/>
        </w:rPr>
        <w:t>17190177843</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9" w:name="法人"/>
      <w:r>
        <w:rPr>
          <w:rFonts w:hint="eastAsia"/>
          <w:b w:val="0"/>
          <w:bCs/>
          <w:color w:val="000000" w:themeColor="text1"/>
          <w:sz w:val="22"/>
          <w:szCs w:val="22"/>
        </w:rPr>
        <w:t>朴奇焕</w:t>
      </w:r>
      <w:bookmarkEnd w:id="9"/>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0" w:name="管理者代表"/>
      <w:r>
        <w:rPr>
          <w:rFonts w:hint="eastAsia"/>
          <w:b w:val="0"/>
          <w:bCs/>
          <w:color w:val="000000" w:themeColor="text1"/>
          <w:sz w:val="22"/>
          <w:szCs w:val="22"/>
        </w:rPr>
        <w:t>朴奇焕</w:t>
      </w:r>
      <w:bookmarkEnd w:id="10"/>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1" w:name="企业人数"/>
      <w:r>
        <w:rPr>
          <w:b w:val="0"/>
          <w:bCs/>
          <w:color w:val="000000" w:themeColor="text1"/>
          <w:sz w:val="22"/>
          <w:szCs w:val="22"/>
        </w:rPr>
        <w:t>10</w:t>
      </w:r>
      <w:bookmarkEnd w:id="11"/>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Q:监查1,E:二阶段,O:二阶段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4" w:name="审核范围"/>
      <w:r>
        <w:rPr>
          <w:rFonts w:hint="eastAsia"/>
          <w:b w:val="0"/>
          <w:bCs/>
          <w:color w:val="000000" w:themeColor="text1"/>
          <w:sz w:val="22"/>
          <w:szCs w:val="22"/>
        </w:rPr>
        <w:t>E：智能多声道超声流量计（速度式流量计）的生产组装所涉及场所的相关环境管理活动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O：智能多声道超声流量计（速度式流量计）的生产组装所涉及场所的相关职业健康安全管理活动</w:t>
      </w:r>
      <w:bookmarkEnd w:id="14"/>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rPr>
        <w:t>Production and assembly of Intelligent Multi-channel Ultrasonic Flowmeter</w:t>
      </w:r>
      <w:r>
        <w:rPr>
          <w:rFonts w:hint="eastAsia"/>
          <w:b w:val="0"/>
          <w:bCs/>
          <w:color w:val="000000" w:themeColor="text1"/>
          <w:sz w:val="22"/>
          <w:szCs w:val="22"/>
          <w:lang w:eastAsia="zh-CN"/>
        </w:rPr>
        <w:t>（Velocity flowmeter）</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u w:val="single"/>
          <w:lang w:eastAsia="zh-CN"/>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eastAsia="zh-CN"/>
        </w:rPr>
        <w:t>：</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rPr>
        <w:t>Production and assembly of Intelligent Multi-channel Ultrasonic Flowmeter</w:t>
      </w:r>
      <w:r>
        <w:rPr>
          <w:rFonts w:hint="eastAsia"/>
          <w:b w:val="0"/>
          <w:bCs/>
          <w:color w:val="000000" w:themeColor="text1"/>
          <w:sz w:val="22"/>
          <w:szCs w:val="22"/>
          <w:lang w:eastAsia="zh-CN"/>
        </w:rPr>
        <w:t>（Velocity flowmeter）</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hint="eastAsia" w:ascii="宋体" w:hAnsi="宋体" w:eastAsia="宋体" w:cs="宋体"/>
          <w:b w:val="0"/>
          <w:bCs/>
          <w:color w:val="000000" w:themeColor="text1"/>
          <w:sz w:val="22"/>
          <w:szCs w:val="22"/>
        </w:rPr>
        <w:t>▇</w:t>
      </w:r>
      <w:r>
        <w:rPr>
          <w:rFonts w:ascii="Symbol" w:hAnsi="Symbol"/>
          <w:b w:val="0"/>
          <w:bCs/>
          <w:color w:val="000000" w:themeColor="text1"/>
          <w:sz w:val="22"/>
          <w:szCs w:val="22"/>
        </w:rPr>
        <w:sym w:font="Symbol" w:char="F0D6"/>
      </w:r>
      <w:bookmarkStart w:id="15" w:name="_GoBack"/>
      <w:bookmarkEnd w:id="15"/>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3669665</wp:posOffset>
            </wp:positionH>
            <wp:positionV relativeFrom="paragraph">
              <wp:posOffset>222250</wp:posOffset>
            </wp:positionV>
            <wp:extent cx="1211580" cy="583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211580" cy="583565"/>
                    </a:xfrm>
                    <a:prstGeom prst="rect">
                      <a:avLst/>
                    </a:prstGeom>
                  </pic:spPr>
                </pic:pic>
              </a:graphicData>
            </a:graphic>
          </wp:anchor>
        </w:drawing>
      </w: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2021.2.4</w:t>
      </w:r>
      <w:r>
        <w:rPr>
          <w:rFonts w:hint="eastAsia"/>
          <w:b w:val="0"/>
          <w:bCs/>
          <w:color w:val="000000" w:themeColor="text1"/>
          <w:sz w:val="22"/>
          <w:szCs w:val="22"/>
        </w:rPr>
        <w:t xml:space="preserve">                                日期：</w:t>
      </w:r>
      <w:r>
        <w:rPr>
          <w:rFonts w:hint="eastAsia"/>
          <w:b w:val="0"/>
          <w:bCs/>
          <w:color w:val="000000" w:themeColor="text1"/>
          <w:sz w:val="22"/>
          <w:szCs w:val="22"/>
          <w:lang w:val="en-US" w:eastAsia="zh-CN"/>
        </w:rPr>
        <w:t>2021.2.4</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6170" cy="8749030"/>
            <wp:effectExtent l="0" t="0" r="11430" b="1270"/>
            <wp:docPr id="3" name="图片 3" descr="审核资料（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审核资料（2）009"/>
                    <pic:cNvPicPr>
                      <a:picLocks noChangeAspect="1"/>
                    </pic:cNvPicPr>
                  </pic:nvPicPr>
                  <pic:blipFill>
                    <a:blip r:embed="rId6"/>
                    <a:stretch>
                      <a:fillRect/>
                    </a:stretch>
                  </pic:blipFill>
                  <pic:spPr>
                    <a:xfrm>
                      <a:off x="0" y="0"/>
                      <a:ext cx="6186170" cy="8749030"/>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5CCE"/>
    <w:multiLevelType w:val="singleLevel"/>
    <w:tmpl w:val="09125C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F7D47D3"/>
    <w:rsid w:val="5F8135C1"/>
    <w:rsid w:val="7EB86F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2021-02-09T01:40:26Z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