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6139815" cy="8674735"/>
            <wp:effectExtent l="0" t="0" r="6985" b="12065"/>
            <wp:docPr id="3" name="图片 3" descr="一阶段审核资料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一阶段审核资料_0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39815" cy="867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4" w:name="_GoBack"/>
      <w:bookmarkEnd w:id="14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891"/>
        <w:gridCol w:w="427"/>
        <w:gridCol w:w="691"/>
        <w:gridCol w:w="545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北京皮赛姆工程科技有限公司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0081-2021-QEO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刘娟娟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5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13581807001</w:t>
            </w:r>
            <w:bookmarkEnd w:id="6"/>
          </w:p>
        </w:tc>
        <w:tc>
          <w:tcPr>
            <w:tcW w:w="427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604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Lucia_112@sohu.com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45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联系人传真"/>
            <w:bookmarkEnd w:id="9"/>
          </w:p>
        </w:tc>
        <w:tc>
          <w:tcPr>
            <w:tcW w:w="427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604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6137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审核范围"/>
            <w:r>
              <w:rPr>
                <w:sz w:val="21"/>
                <w:szCs w:val="21"/>
              </w:rPr>
              <w:t>O：化工安全领域的管理咨询、技术咨询、工程安全性评所涉及场所的相关职业健康安全管理活动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E：化工安全领域的管理咨询、技术咨询、工程安全性评估所涉及场所的相关环境管理活动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Q：化工安全领域的管理咨询、技术咨询、工程安全性评估</w:t>
            </w:r>
            <w:bookmarkEnd w:id="10"/>
          </w:p>
        </w:tc>
        <w:tc>
          <w:tcPr>
            <w:tcW w:w="69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191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专业代码"/>
            <w:r>
              <w:rPr>
                <w:sz w:val="21"/>
                <w:szCs w:val="21"/>
              </w:rPr>
              <w:t>O：34.06.00;35.04.02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E：34.06.00;35.04.02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Q：34.06.00;35.04.02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O：GB/T45001-2020 / ISO45001：2018,</w:t>
            </w:r>
          </w:p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E：GB/T 24001-2016/ISO14001:2015,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Q：GB/T19001-2016/ISO9001:2015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2021年02月03日 下午至2021年02月03日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741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1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6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</w:tc>
        <w:tc>
          <w:tcPr>
            <w:tcW w:w="31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O:34.06.00,35.04.02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E:34.06.00,35.04.02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Q:34.06.00</w:t>
            </w:r>
          </w:p>
        </w:tc>
        <w:tc>
          <w:tcPr>
            <w:tcW w:w="166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18633812642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ISC-22240</w:t>
            </w:r>
          </w:p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李蒙生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</w:tc>
        <w:tc>
          <w:tcPr>
            <w:tcW w:w="31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O:34.06.00,35.04.02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E:34.06.00,35.04.02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Q:35.04.02</w:t>
            </w:r>
          </w:p>
        </w:tc>
        <w:tc>
          <w:tcPr>
            <w:tcW w:w="166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18031915393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ISC-237307</w:t>
            </w:r>
          </w:p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211580" cy="583565"/>
                  <wp:effectExtent l="0" t="0" r="0" b="0"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1580" cy="583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60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2021.2.1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2021.2.1</w:t>
            </w:r>
          </w:p>
        </w:tc>
        <w:tc>
          <w:tcPr>
            <w:tcW w:w="13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604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2021.2.1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421"/>
        <w:gridCol w:w="6601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9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2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0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9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2021.2.3</w:t>
            </w:r>
          </w:p>
        </w:tc>
        <w:tc>
          <w:tcPr>
            <w:tcW w:w="1421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60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9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601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质量环境安全事故及投诉情况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QEO </w:t>
            </w:r>
            <w:r>
              <w:rPr>
                <w:rFonts w:hint="eastAsia"/>
                <w:sz w:val="21"/>
                <w:szCs w:val="21"/>
              </w:rPr>
              <w:t>4.1/4.3/4.4/5.2/6.2/9.2/9.3/7.1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9.2/9.3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7" w:hRule="atLeast"/>
        </w:trPr>
        <w:tc>
          <w:tcPr>
            <w:tcW w:w="109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601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办公室：</w:t>
            </w:r>
            <w:r>
              <w:rPr>
                <w:rFonts w:hint="eastAsia"/>
                <w:sz w:val="21"/>
                <w:szCs w:val="21"/>
              </w:rPr>
              <w:t>目标、指标及管理方案的可行性；环境因素、危险源的识别评价情况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合规义务、适用法律法规识别的充分性及合规性评价情况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组织的知识，文件化信息，环境因素、危险源的识别评价情况，现场基本情况（包括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产品实现</w:t>
            </w:r>
            <w:r>
              <w:rPr>
                <w:rFonts w:hint="eastAsia"/>
                <w:sz w:val="21"/>
                <w:szCs w:val="21"/>
              </w:rPr>
              <w:t>流程、设备、监视和测量设备等）资源的配置、特殊过程识别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应急准备及响应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Q7.1.3/7.1.4/7.1.5/7.1.6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8.1/8.5.1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EO6.1.2/6.1.3/6.2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7.5/</w:t>
            </w:r>
            <w:r>
              <w:rPr>
                <w:rFonts w:hint="eastAsia"/>
                <w:sz w:val="21"/>
                <w:szCs w:val="21"/>
              </w:rPr>
              <w:t>8.2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95" w:type="dxa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60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7064D3"/>
    <w:rsid w:val="4EF956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至鱼</cp:lastModifiedBy>
  <cp:lastPrinted>2019-03-27T03:10:00Z</cp:lastPrinted>
  <dcterms:modified xsi:type="dcterms:W3CDTF">2021-02-23T06:08:34Z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