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9"/>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99"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管理层，</w:t>
            </w:r>
            <w:r>
              <w:rPr>
                <w:rFonts w:hint="eastAsia"/>
                <w:sz w:val="24"/>
                <w:szCs w:val="24"/>
              </w:rPr>
              <w:t>主管领导</w:t>
            </w:r>
            <w:r>
              <w:rPr>
                <w:rFonts w:hint="eastAsia"/>
                <w:sz w:val="24"/>
                <w:szCs w:val="24"/>
                <w:lang w:eastAsia="zh-CN"/>
              </w:rPr>
              <w:t>：</w:t>
            </w:r>
            <w:r>
              <w:rPr>
                <w:rFonts w:hint="eastAsia" w:ascii="宋体"/>
                <w:b/>
                <w:color w:val="000000"/>
                <w:sz w:val="20"/>
                <w:szCs w:val="20"/>
                <w:lang w:eastAsia="zh-CN"/>
              </w:rPr>
              <w:t>朴奇焕</w:t>
            </w:r>
          </w:p>
        </w:tc>
        <w:tc>
          <w:tcPr>
            <w:tcW w:w="109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9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2021.2.3</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99" w:type="dxa"/>
            <w:vAlign w:val="center"/>
          </w:tcPr>
          <w:p>
            <w:pPr>
              <w:rPr>
                <w:sz w:val="24"/>
                <w:szCs w:val="24"/>
              </w:rPr>
            </w:pPr>
            <w:r>
              <w:rPr>
                <w:rFonts w:hint="eastAsia"/>
                <w:sz w:val="24"/>
                <w:szCs w:val="24"/>
              </w:rPr>
              <w:t>审核条款：</w:t>
            </w:r>
            <w:r>
              <w:rPr>
                <w:rFonts w:hint="eastAsia"/>
                <w:sz w:val="24"/>
                <w:szCs w:val="24"/>
                <w:lang w:val="en-US" w:eastAsia="zh-CN"/>
              </w:rPr>
              <w:t>EO</w:t>
            </w:r>
            <w:r>
              <w:rPr>
                <w:rFonts w:hint="eastAsia"/>
                <w:sz w:val="21"/>
                <w:szCs w:val="21"/>
              </w:rPr>
              <w:t>4.1/4.3/4.4/5.2/6.2/9.2/9.3/7.1</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960" w:type="dxa"/>
            <w:vAlign w:val="top"/>
          </w:tcPr>
          <w:p>
            <w:pPr>
              <w:rPr>
                <w:rFonts w:hint="eastAsia"/>
                <w:lang w:val="en-US" w:eastAsia="zh-CN"/>
              </w:rPr>
            </w:pPr>
            <w:r>
              <w:rPr>
                <w:rFonts w:hint="eastAsia"/>
                <w:lang w:val="en-US" w:eastAsia="zh-CN"/>
              </w:rPr>
              <w:t>EO：4.1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0499" w:type="dxa"/>
            <w:vAlign w:val="top"/>
          </w:tcPr>
          <w:p>
            <w:pPr>
              <w:rPr>
                <w:rFonts w:hint="eastAsia" w:ascii="Times New Roman" w:hAnsi="Times New Roman" w:eastAsia="宋体" w:cs="Times New Roman"/>
                <w:szCs w:val="22"/>
                <w:lang w:eastAsia="zh-CN"/>
              </w:rPr>
            </w:pPr>
            <w:r>
              <w:rPr>
                <w:rFonts w:hint="eastAsia"/>
                <w:sz w:val="21"/>
                <w:szCs w:val="21"/>
              </w:rPr>
              <w:t>总</w:t>
            </w:r>
            <w:r>
              <w:rPr>
                <w:rFonts w:hint="eastAsia" w:ascii="Times New Roman" w:hAnsi="Times New Roman" w:cs="Times New Roman"/>
                <w:szCs w:val="22"/>
              </w:rPr>
              <w:t>经理</w:t>
            </w:r>
            <w:r>
              <w:rPr>
                <w:rFonts w:hint="eastAsia" w:cs="Times New Roman"/>
                <w:szCs w:val="22"/>
                <w:lang w:val="en-US" w:eastAsia="zh-CN"/>
              </w:rPr>
              <w:t>兼</w:t>
            </w:r>
            <w:r>
              <w:rPr>
                <w:rFonts w:hint="eastAsia" w:ascii="Times New Roman" w:hAnsi="Times New Roman" w:cs="Times New Roman"/>
                <w:szCs w:val="22"/>
              </w:rPr>
              <w:t>管理者代表</w:t>
            </w:r>
            <w:r>
              <w:rPr>
                <w:rFonts w:hint="eastAsia" w:ascii="Times New Roman" w:hAnsi="Times New Roman" w:cs="Times New Roman"/>
                <w:szCs w:val="22"/>
                <w:lang w:val="en-US" w:eastAsia="zh-CN"/>
              </w:rPr>
              <w:t>：</w:t>
            </w:r>
            <w:r>
              <w:rPr>
                <w:rFonts w:hint="eastAsia" w:cs="Times New Roman"/>
                <w:szCs w:val="22"/>
                <w:lang w:eastAsia="zh-CN"/>
              </w:rPr>
              <w:t>朴奇焕</w:t>
            </w:r>
          </w:p>
          <w:p>
            <w:pPr>
              <w:rPr>
                <w:rFonts w:hint="default" w:ascii="Times New Roman" w:hAnsi="Times New Roman" w:cs="Times New Roman"/>
                <w:szCs w:val="22"/>
                <w:lang w:val="en-US" w:eastAsia="zh-CN"/>
              </w:rPr>
            </w:pPr>
            <w:r>
              <w:rPr>
                <w:rFonts w:hint="eastAsia" w:ascii="Times New Roman" w:hAnsi="Times New Roman" w:cs="Times New Roman"/>
                <w:szCs w:val="22"/>
              </w:rPr>
              <w:t>■</w:t>
            </w:r>
            <w:r>
              <w:rPr>
                <w:rFonts w:hint="default" w:ascii="Times New Roman" w:hAnsi="Times New Roman" w:cs="Times New Roman"/>
                <w:szCs w:val="22"/>
              </w:rPr>
              <w:t>受审核方</w:t>
            </w:r>
            <w:bookmarkStart w:id="0" w:name="组织名称"/>
            <w:r>
              <w:rPr>
                <w:sz w:val="21"/>
                <w:szCs w:val="21"/>
              </w:rPr>
              <w:t>北京唯恩传感技术有限公司</w:t>
            </w:r>
            <w:bookmarkEnd w:id="0"/>
            <w:r>
              <w:rPr>
                <w:rFonts w:hint="eastAsia"/>
                <w:sz w:val="21"/>
                <w:szCs w:val="21"/>
                <w:lang w:val="en-US" w:eastAsia="zh-CN"/>
              </w:rPr>
              <w:t>成立于</w:t>
            </w:r>
            <w:r>
              <w:rPr>
                <w:rFonts w:hint="eastAsia"/>
                <w:color w:val="000000"/>
                <w:szCs w:val="21"/>
                <w:lang w:eastAsia="zh-CN"/>
              </w:rPr>
              <w:t>2018年7月25日，营业期限至：2048年7月24日 ，</w:t>
            </w:r>
            <w:r>
              <w:rPr>
                <w:rFonts w:hint="default" w:ascii="Times New Roman" w:hAnsi="Times New Roman" w:cs="Times New Roman"/>
                <w:szCs w:val="22"/>
              </w:rPr>
              <w:t>经营地址位于</w:t>
            </w:r>
            <w:r>
              <w:rPr>
                <w:rFonts w:hint="eastAsia"/>
                <w:lang w:eastAsia="zh-CN"/>
              </w:rPr>
              <w:t>北京市朝阳区利泽中园106号楼2层A208</w:t>
            </w:r>
            <w:r>
              <w:rPr>
                <w:rFonts w:hint="default" w:ascii="Times New Roman" w:hAnsi="Times New Roman" w:cs="Times New Roman"/>
                <w:szCs w:val="22"/>
              </w:rPr>
              <w:t>，办公面积</w:t>
            </w:r>
            <w:r>
              <w:rPr>
                <w:rFonts w:hint="eastAsia" w:cs="Times New Roman"/>
                <w:szCs w:val="22"/>
                <w:lang w:val="en-US" w:eastAsia="zh-CN"/>
              </w:rPr>
              <w:t>10</w:t>
            </w:r>
            <w:r>
              <w:rPr>
                <w:rFonts w:hint="default" w:ascii="Times New Roman" w:hAnsi="Times New Roman" w:cs="Times New Roman"/>
                <w:szCs w:val="22"/>
              </w:rPr>
              <w:t>0平米、</w:t>
            </w:r>
            <w:r>
              <w:rPr>
                <w:rFonts w:hint="eastAsia" w:ascii="Times New Roman" w:hAnsi="Times New Roman" w:cs="Times New Roman"/>
                <w:szCs w:val="22"/>
                <w:lang w:val="en-US" w:eastAsia="zh-CN"/>
              </w:rPr>
              <w:t>车间</w:t>
            </w:r>
            <w:r>
              <w:rPr>
                <w:rFonts w:hint="eastAsia" w:cs="Times New Roman"/>
                <w:szCs w:val="22"/>
                <w:lang w:val="en-US" w:eastAsia="zh-CN"/>
              </w:rPr>
              <w:t>3</w:t>
            </w:r>
            <w:r>
              <w:rPr>
                <w:rFonts w:hint="default" w:ascii="Times New Roman" w:hAnsi="Times New Roman" w:cs="Times New Roman"/>
                <w:szCs w:val="22"/>
              </w:rPr>
              <w:t>00平米，主要从事</w:t>
            </w:r>
            <w:r>
              <w:rPr>
                <w:rFonts w:hint="eastAsia"/>
                <w:color w:val="000000"/>
                <w:szCs w:val="21"/>
                <w:lang w:eastAsia="zh-CN"/>
              </w:rPr>
              <w:t>智能多声道超声流量计</w:t>
            </w:r>
            <w:r>
              <w:rPr>
                <w:rFonts w:hint="eastAsia"/>
                <w:color w:val="000000"/>
                <w:szCs w:val="21"/>
                <w:lang w:val="en-US" w:eastAsia="zh-CN"/>
              </w:rPr>
              <w:t>的组装生产</w:t>
            </w:r>
            <w:r>
              <w:rPr>
                <w:rFonts w:hint="eastAsia" w:ascii="Times New Roman" w:hAnsi="Times New Roman" w:cs="Times New Roman"/>
                <w:szCs w:val="22"/>
                <w:lang w:val="en-US" w:eastAsia="zh-CN"/>
              </w:rPr>
              <w:t>。</w:t>
            </w:r>
          </w:p>
          <w:p>
            <w:pPr>
              <w:rPr>
                <w:rFonts w:hint="eastAsia"/>
                <w:color w:val="000000"/>
                <w:szCs w:val="21"/>
                <w:lang w:eastAsia="zh-CN"/>
              </w:rPr>
            </w:pPr>
            <w:r>
              <w:rPr>
                <w:rFonts w:hint="eastAsia"/>
                <w:color w:val="000000"/>
                <w:szCs w:val="21"/>
                <w:lang w:val="en-US" w:eastAsia="zh-CN"/>
              </w:rPr>
              <w:t>提供</w:t>
            </w:r>
            <w:r>
              <w:rPr>
                <w:rFonts w:hint="eastAsia"/>
                <w:color w:val="000000"/>
                <w:szCs w:val="21"/>
                <w:lang w:eastAsia="zh-CN"/>
              </w:rPr>
              <w:t>中华人民共和国计量器具型式批准证书</w:t>
            </w:r>
          </w:p>
          <w:p>
            <w:pPr>
              <w:rPr>
                <w:rFonts w:hint="eastAsia"/>
                <w:color w:val="000000"/>
                <w:szCs w:val="21"/>
                <w:lang w:eastAsia="zh-CN"/>
              </w:rPr>
            </w:pPr>
            <w:r>
              <w:rPr>
                <w:rFonts w:hint="eastAsia"/>
                <w:color w:val="000000"/>
                <w:szCs w:val="21"/>
                <w:lang w:eastAsia="zh-CN"/>
              </w:rPr>
              <w:t>产品名称：智能多声道超声流量计（速度式流量计）</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审核组与受审核方现场确认的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b w:val="0"/>
                <w:bCs w:val="0"/>
                <w:color w:val="auto"/>
                <w:sz w:val="21"/>
                <w:szCs w:val="21"/>
              </w:rPr>
            </w:pPr>
            <w:bookmarkStart w:id="1" w:name="审核范围"/>
            <w:r>
              <w:rPr>
                <w:b w:val="0"/>
                <w:bCs w:val="0"/>
                <w:color w:val="auto"/>
                <w:sz w:val="21"/>
                <w:szCs w:val="21"/>
              </w:rPr>
              <w:t>O：</w:t>
            </w:r>
            <w:r>
              <w:rPr>
                <w:rFonts w:hint="eastAsia"/>
                <w:color w:val="auto"/>
                <w:sz w:val="21"/>
                <w:szCs w:val="21"/>
                <w:lang w:eastAsia="zh-CN"/>
              </w:rPr>
              <w:t>智能多声道超声流量计（速度式流量计）的生产组装</w:t>
            </w:r>
            <w:r>
              <w:rPr>
                <w:b w:val="0"/>
                <w:bCs w:val="0"/>
                <w:color w:val="auto"/>
                <w:sz w:val="21"/>
                <w:szCs w:val="21"/>
              </w:rPr>
              <w:t>及相关职业健康安全管理活动</w:t>
            </w:r>
          </w:p>
          <w:p>
            <w:pPr>
              <w:rPr>
                <w:rFonts w:hint="eastAsia" w:ascii="宋体" w:hAnsi="宋体"/>
                <w:sz w:val="21"/>
                <w:szCs w:val="21"/>
              </w:rPr>
            </w:pPr>
            <w:r>
              <w:rPr>
                <w:b w:val="0"/>
                <w:bCs w:val="0"/>
                <w:color w:val="auto"/>
                <w:sz w:val="21"/>
                <w:szCs w:val="21"/>
              </w:rPr>
              <w:t>E：</w:t>
            </w:r>
            <w:r>
              <w:rPr>
                <w:rFonts w:hint="eastAsia"/>
                <w:color w:val="auto"/>
                <w:sz w:val="21"/>
                <w:szCs w:val="21"/>
                <w:lang w:eastAsia="zh-CN"/>
              </w:rPr>
              <w:t>智能多声道超声流量计（速度式流量计）的生产组装</w:t>
            </w:r>
            <w:r>
              <w:rPr>
                <w:b w:val="0"/>
                <w:bCs w:val="0"/>
                <w:color w:val="auto"/>
                <w:sz w:val="21"/>
                <w:szCs w:val="21"/>
              </w:rPr>
              <w:t>及相关环境管理活动</w:t>
            </w:r>
            <w:bookmarkEnd w:id="1"/>
          </w:p>
          <w:p>
            <w:pPr>
              <w:rPr>
                <w:rFonts w:hint="eastAsia"/>
              </w:rPr>
            </w:pPr>
            <w:r>
              <w:t>■</w:t>
            </w:r>
            <w:r>
              <w:rPr>
                <w:rFonts w:hint="eastAsia"/>
                <w:lang w:eastAsia="zh-CN"/>
              </w:rPr>
              <w:t>不适用条款</w:t>
            </w:r>
            <w:r>
              <w:rPr>
                <w:rFonts w:hint="eastAsia"/>
              </w:rPr>
              <w:t>：</w:t>
            </w:r>
            <w:r>
              <w:rPr>
                <w:rFonts w:hint="eastAsia"/>
                <w:lang w:val="en-US" w:eastAsia="zh-CN"/>
              </w:rPr>
              <w:t>无</w:t>
            </w:r>
            <w:r>
              <w:rPr>
                <w:rFonts w:hint="eastAsia"/>
              </w:rPr>
              <w:t>。</w:t>
            </w:r>
          </w:p>
          <w:p>
            <w:pPr>
              <w:rPr>
                <w:rFonts w:hint="default"/>
                <w:lang w:val="en-US"/>
              </w:rPr>
            </w:pPr>
            <w:r>
              <w:t>■</w:t>
            </w:r>
            <w:r>
              <w:rPr>
                <w:rFonts w:hint="eastAsia"/>
                <w:u w:val="none"/>
              </w:rPr>
              <w:t>外包过程：</w:t>
            </w:r>
            <w:r>
              <w:rPr>
                <w:rFonts w:hint="eastAsia"/>
                <w:szCs w:val="21"/>
              </w:rPr>
              <w:t>主板、测量管加工</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10</w:t>
            </w:r>
            <w:r>
              <w:rPr>
                <w:rFonts w:hint="eastAsia"/>
              </w:rPr>
              <w:t>人，无倒班情况</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960" w:type="dxa"/>
            <w:vAlign w:val="top"/>
          </w:tcPr>
          <w:p>
            <w:pPr>
              <w:rPr>
                <w:rFonts w:hint="eastAsia"/>
                <w:lang w:val="en-US" w:eastAsia="zh-CN"/>
              </w:rPr>
            </w:pPr>
            <w:r>
              <w:rPr>
                <w:rFonts w:hint="eastAsia"/>
                <w:lang w:val="en-US" w:eastAsia="zh-CN"/>
              </w:rPr>
              <w:t>EO：</w:t>
            </w:r>
          </w:p>
          <w:p>
            <w:pPr>
              <w:rPr>
                <w:rFonts w:hint="eastAsia"/>
              </w:rPr>
            </w:pPr>
            <w:r>
              <w:rPr>
                <w:rFonts w:hint="eastAsia"/>
                <w:lang w:val="en-US" w:eastAsia="zh-CN"/>
              </w:rPr>
              <w:t>5.2     6.2</w:t>
            </w:r>
          </w:p>
          <w:p>
            <w:pPr>
              <w:rPr>
                <w:rFonts w:ascii="Times New Roman" w:hAnsi="Times New Roman" w:eastAsia="宋体" w:cs="Times New Roman"/>
                <w:kern w:val="2"/>
                <w:sz w:val="21"/>
                <w:lang w:val="en-US" w:eastAsia="zh-CN" w:bidi="ar-SA"/>
              </w:rPr>
            </w:pPr>
          </w:p>
        </w:tc>
        <w:tc>
          <w:tcPr>
            <w:tcW w:w="10499" w:type="dxa"/>
            <w:vAlign w:val="top"/>
          </w:tcPr>
          <w:p>
            <w:pPr>
              <w:rPr>
                <w:rFonts w:hint="eastAsia" w:cs="宋体"/>
                <w:szCs w:val="22"/>
              </w:rPr>
            </w:pPr>
            <w:r>
              <w:rPr>
                <w:rFonts w:hint="eastAsia"/>
              </w:rPr>
              <w:t>管理手册</w:t>
            </w:r>
            <w:r>
              <w:rPr>
                <w:rFonts w:hint="eastAsia" w:cs="宋体"/>
                <w:szCs w:val="22"/>
              </w:rPr>
              <w:t>明确了公司的管理方针：</w:t>
            </w:r>
          </w:p>
          <w:p>
            <w:pPr>
              <w:rPr>
                <w:rFonts w:hint="eastAsia" w:cs="宋体"/>
                <w:szCs w:val="22"/>
                <w:lang w:eastAsia="zh-CN"/>
              </w:rPr>
            </w:pPr>
            <w:r>
              <w:rPr>
                <w:rFonts w:hint="eastAsia" w:cs="宋体"/>
                <w:szCs w:val="22"/>
                <w:lang w:eastAsia="zh-CN"/>
              </w:rPr>
              <w:t>安全为天  质量为先  美化环境  守法诚信  创新发展  顾客满意。</w:t>
            </w:r>
          </w:p>
          <w:p>
            <w:pPr>
              <w:rPr>
                <w:rFonts w:hint="eastAsia" w:cs="宋体"/>
                <w:szCs w:val="22"/>
              </w:rPr>
            </w:pPr>
            <w:r>
              <w:rPr>
                <w:rFonts w:hint="eastAsia" w:cs="宋体"/>
                <w:szCs w:val="22"/>
              </w:rPr>
              <w:t>总经理证实，与企业的宗旨一直，随管理手册的发布宣传贯彻。</w:t>
            </w:r>
          </w:p>
          <w:p>
            <w:pPr>
              <w:rPr>
                <w:rFonts w:hint="eastAsia" w:cs="宋体"/>
                <w:lang w:eastAsia="zh-CN"/>
              </w:rPr>
            </w:pPr>
            <w:r>
              <w:rPr>
                <w:rFonts w:hint="eastAsia" w:cs="宋体"/>
                <w:lang w:eastAsia="zh-CN"/>
              </w:rPr>
              <w:t>公司环境职业健康安全目标指标：</w:t>
            </w:r>
          </w:p>
          <w:p>
            <w:pPr>
              <w:rPr>
                <w:rFonts w:hint="eastAsia" w:cs="宋体"/>
                <w:lang w:eastAsia="zh-CN"/>
              </w:rPr>
            </w:pPr>
            <w:r>
              <w:rPr>
                <w:rFonts w:hint="eastAsia" w:cs="宋体"/>
                <w:lang w:eastAsia="zh-CN"/>
              </w:rPr>
              <w:t>产生的废物100%分类、收集、处置</w:t>
            </w:r>
          </w:p>
          <w:p>
            <w:pPr>
              <w:rPr>
                <w:rFonts w:hint="eastAsia" w:cs="宋体"/>
                <w:lang w:eastAsia="zh-CN"/>
              </w:rPr>
            </w:pPr>
            <w:r>
              <w:rPr>
                <w:rFonts w:hint="eastAsia" w:cs="宋体"/>
                <w:lang w:eastAsia="zh-CN"/>
              </w:rPr>
              <w:t>火灾、触电、重大安全事故为0</w:t>
            </w:r>
          </w:p>
          <w:p>
            <w:pPr>
              <w:rPr>
                <w:rFonts w:hint="eastAsia" w:cs="宋体"/>
                <w:lang w:eastAsia="zh-CN"/>
              </w:rPr>
            </w:pPr>
            <w:r>
              <w:rPr>
                <w:rFonts w:hint="eastAsia" w:cs="宋体"/>
                <w:lang w:eastAsia="zh-CN"/>
              </w:rPr>
              <w:t>轻伤事故少于3起/年</w:t>
            </w:r>
          </w:p>
          <w:p>
            <w:pPr>
              <w:rPr>
                <w:rFonts w:ascii="Times New Roman" w:hAnsi="Times New Roman" w:eastAsia="宋体" w:cs="Times New Roman"/>
                <w:kern w:val="2"/>
                <w:sz w:val="21"/>
                <w:lang w:val="en-US" w:eastAsia="zh-CN" w:bidi="ar-SA"/>
              </w:rPr>
            </w:pPr>
            <w:r>
              <w:rPr>
                <w:rFonts w:hint="eastAsia"/>
              </w:rPr>
              <w:t>基本符合标准要求。在方针框架下展开，并分解到各职能部门。</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内审、管理评审策划和实施的符合性及可信性</w:t>
            </w:r>
          </w:p>
        </w:tc>
        <w:tc>
          <w:tcPr>
            <w:tcW w:w="960" w:type="dxa"/>
            <w:vAlign w:val="top"/>
          </w:tcPr>
          <w:p>
            <w:pPr>
              <w:rPr>
                <w:rFonts w:hint="eastAsia"/>
                <w:lang w:val="en-US" w:eastAsia="zh-CN"/>
              </w:rPr>
            </w:pPr>
            <w:r>
              <w:rPr>
                <w:rFonts w:hint="eastAsia"/>
                <w:lang w:val="en-US" w:eastAsia="zh-CN"/>
              </w:rPr>
              <w:t>EO：</w:t>
            </w:r>
          </w:p>
          <w:p>
            <w:pPr>
              <w:rPr>
                <w:rFonts w:hint="eastAsia"/>
                <w:lang w:val="en-US" w:eastAsia="zh-CN"/>
              </w:rPr>
            </w:pPr>
            <w:r>
              <w:rPr>
                <w:rFonts w:hint="eastAsia"/>
                <w:lang w:val="en-US" w:eastAsia="zh-CN"/>
              </w:rPr>
              <w:t>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0499" w:type="dxa"/>
            <w:vAlign w:val="top"/>
          </w:tcPr>
          <w:p>
            <w:pPr>
              <w:rPr>
                <w:rFonts w:hint="eastAsia"/>
              </w:rPr>
            </w:pPr>
            <w:r>
              <w:rPr>
                <w:rFonts w:hint="eastAsia"/>
              </w:rPr>
              <w:t>20</w:t>
            </w:r>
            <w:r>
              <w:rPr>
                <w:rFonts w:hint="eastAsia"/>
                <w:lang w:val="en-US" w:eastAsia="zh-CN"/>
              </w:rPr>
              <w:t>20</w:t>
            </w:r>
            <w:r>
              <w:rPr>
                <w:rFonts w:hint="eastAsia"/>
              </w:rPr>
              <w:t>年</w:t>
            </w:r>
            <w:r>
              <w:rPr>
                <w:rFonts w:hint="eastAsia"/>
                <w:lang w:val="en-US" w:eastAsia="zh-CN"/>
              </w:rPr>
              <w:t>12</w:t>
            </w:r>
            <w:r>
              <w:rPr>
                <w:rFonts w:hint="eastAsia"/>
              </w:rPr>
              <w:t>月</w:t>
            </w:r>
            <w:r>
              <w:rPr>
                <w:rFonts w:hint="eastAsia"/>
                <w:lang w:val="en-US" w:eastAsia="zh-CN"/>
              </w:rPr>
              <w:t>6-7</w:t>
            </w:r>
            <w:r>
              <w:rPr>
                <w:rFonts w:hint="eastAsia"/>
              </w:rPr>
              <w:t>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rPr>
              <w:t>20</w:t>
            </w:r>
            <w:r>
              <w:rPr>
                <w:rFonts w:hint="eastAsia"/>
                <w:lang w:val="en-US" w:eastAsia="zh-CN"/>
              </w:rPr>
              <w:t>20</w:t>
            </w:r>
            <w:r>
              <w:rPr>
                <w:rFonts w:hint="eastAsia"/>
              </w:rPr>
              <w:t>年</w:t>
            </w:r>
            <w:r>
              <w:rPr>
                <w:rFonts w:hint="eastAsia"/>
                <w:lang w:val="en-US" w:eastAsia="zh-CN"/>
              </w:rPr>
              <w:t>12</w:t>
            </w:r>
            <w:r>
              <w:rPr>
                <w:rFonts w:hint="eastAsia"/>
              </w:rPr>
              <w:t>月</w:t>
            </w:r>
            <w:r>
              <w:rPr>
                <w:rFonts w:hint="eastAsia"/>
                <w:lang w:val="en-US" w:eastAsia="zh-CN"/>
              </w:rPr>
              <w:t>13</w:t>
            </w:r>
            <w:r>
              <w:rPr>
                <w:rFonts w:hint="eastAsia"/>
              </w:rPr>
              <w:t>日进行管理评审，由总经理主持会议，有管理评审计划、管理评审输入资料</w:t>
            </w:r>
            <w:r>
              <w:t>—</w:t>
            </w:r>
            <w:r>
              <w:rPr>
                <w:rFonts w:hint="eastAsia"/>
              </w:rPr>
              <w:t>各部门工作总结、管理评审报告等，内容基本可信，有效。</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vAlign w:val="top"/>
          </w:tcPr>
          <w:p>
            <w:pPr>
              <w:rPr>
                <w:rFonts w:hint="eastAsia"/>
              </w:rPr>
            </w:pPr>
            <w:r>
              <w:rPr>
                <w:rFonts w:hint="eastAsia"/>
              </w:rPr>
              <w:t>遵守法律法规的情况</w:t>
            </w:r>
          </w:p>
          <w:p>
            <w:pPr>
              <w:rPr>
                <w:rFonts w:hint="eastAsia" w:ascii="Times New Roman" w:hAnsi="Times New Roman" w:eastAsia="宋体" w:cs="Times New Roman"/>
                <w:kern w:val="2"/>
                <w:sz w:val="21"/>
                <w:lang w:val="en-US" w:eastAsia="zh-CN" w:bidi="ar-SA"/>
              </w:rPr>
            </w:pPr>
            <w:r>
              <w:rPr>
                <w:rFonts w:hint="eastAsia"/>
              </w:rPr>
              <w:t>事故及投诉情况</w:t>
            </w: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组装生产</w:t>
            </w:r>
            <w:r>
              <w:rPr>
                <w:rFonts w:hint="eastAsia"/>
                <w:lang w:eastAsia="zh-CN"/>
              </w:rPr>
              <w:t>各</w:t>
            </w:r>
            <w:r>
              <w:t>过程中能够遵守相关的法律法规和其它要求，提供合规性评价记录，评价时间：20</w:t>
            </w:r>
            <w:r>
              <w:rPr>
                <w:rFonts w:hint="eastAsia"/>
                <w:lang w:val="en-US" w:eastAsia="zh-CN"/>
              </w:rPr>
              <w:t>20.11.10</w:t>
            </w:r>
            <w:r>
              <w:t>，符合要求。体系运行以来，未发生</w:t>
            </w:r>
            <w:r>
              <w:rPr>
                <w:rFonts w:hint="eastAsia"/>
              </w:rPr>
              <w:t>环境</w:t>
            </w:r>
            <w:r>
              <w:rPr>
                <w:rFonts w:hint="eastAsia"/>
                <w:lang w:eastAsia="zh-CN"/>
              </w:rPr>
              <w:t>安全</w:t>
            </w:r>
            <w:r>
              <w:t>事故，无重大投诉和行政处罚</w:t>
            </w:r>
            <w:r>
              <w:rPr>
                <w:rFonts w:hint="eastAsia"/>
              </w:rPr>
              <w:t>情况</w:t>
            </w:r>
            <w:r>
              <w:rPr>
                <w:rFonts w:hint="eastAsia"/>
                <w:lang w:val="en-US" w:eastAsia="zh-CN"/>
              </w:rPr>
              <w:t>.</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vAlign w:val="top"/>
          </w:tcPr>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21</w:t>
            </w:r>
            <w:r>
              <w:rPr>
                <w:rFonts w:hint="eastAsia"/>
              </w:rPr>
              <w:t>年</w:t>
            </w:r>
            <w:r>
              <w:rPr>
                <w:rFonts w:hint="eastAsia"/>
                <w:lang w:val="en-US" w:eastAsia="zh-CN"/>
              </w:rPr>
              <w:t>2</w:t>
            </w:r>
            <w:r>
              <w:rPr>
                <w:rFonts w:hint="eastAsia"/>
              </w:rPr>
              <w:t>月</w:t>
            </w:r>
            <w:r>
              <w:rPr>
                <w:rFonts w:hint="eastAsia"/>
                <w:lang w:val="en-US" w:eastAsia="zh-CN"/>
              </w:rPr>
              <w:t>4</w:t>
            </w:r>
            <w:r>
              <w:rPr>
                <w:rFonts w:hint="eastAsia"/>
              </w:rPr>
              <w:t>日</w:t>
            </w:r>
          </w:p>
        </w:tc>
        <w:tc>
          <w:tcPr>
            <w:tcW w:w="1090" w:type="dxa"/>
          </w:tcPr>
          <w:p/>
        </w:tc>
      </w:tr>
    </w:tbl>
    <w:p>
      <w:pPr>
        <w:rPr>
          <w:rFonts w:hint="eastAsia"/>
        </w:rPr>
      </w:pPr>
    </w:p>
    <w:p/>
    <w:p/>
    <w:p/>
    <w:p/>
    <w:p/>
    <w:p/>
    <w:p/>
    <w:p>
      <w:r>
        <w:ptab w:relativeTo="margin" w:alignment="center" w:leader="none"/>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91" w:type="dxa"/>
            <w:vAlign w:val="center"/>
          </w:tcPr>
          <w:p>
            <w:pPr>
              <w:rPr>
                <w:rFonts w:ascii="宋体" w:hAnsi="宋体" w:cs="宋体"/>
                <w:kern w:val="0"/>
                <w:sz w:val="24"/>
                <w:szCs w:val="24"/>
              </w:rPr>
            </w:pPr>
            <w:r>
              <w:rPr>
                <w:rFonts w:hint="eastAsia"/>
                <w:szCs w:val="21"/>
              </w:rPr>
              <w:t xml:space="preserve">受审核部门：综合部 </w:t>
            </w:r>
            <w:r>
              <w:rPr>
                <w:szCs w:val="21"/>
              </w:rPr>
              <w:t>/</w:t>
            </w:r>
            <w:r>
              <w:rPr>
                <w:rFonts w:hint="eastAsia"/>
                <w:szCs w:val="21"/>
              </w:rPr>
              <w:t>生产部      负责人：高红雪/张艳波</w:t>
            </w:r>
          </w:p>
        </w:tc>
        <w:tc>
          <w:tcPr>
            <w:tcW w:w="698"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91" w:type="dxa"/>
            <w:vAlign w:val="center"/>
          </w:tcPr>
          <w:p>
            <w:pPr>
              <w:spacing w:before="120"/>
              <w:rPr>
                <w:szCs w:val="21"/>
              </w:rPr>
            </w:pPr>
            <w:r>
              <w:rPr>
                <w:rFonts w:hint="eastAsia"/>
                <w:szCs w:val="21"/>
              </w:rPr>
              <w:t>审核员：张鹏            审核时间：202</w:t>
            </w:r>
            <w:r>
              <w:rPr>
                <w:szCs w:val="21"/>
              </w:rPr>
              <w:t>1.2.3</w:t>
            </w:r>
          </w:p>
        </w:tc>
        <w:tc>
          <w:tcPr>
            <w:tcW w:w="698"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91" w:type="dxa"/>
            <w:vAlign w:val="center"/>
          </w:tcPr>
          <w:p>
            <w:pPr>
              <w:rPr>
                <w:szCs w:val="21"/>
              </w:rPr>
            </w:pPr>
            <w:r>
              <w:rPr>
                <w:rFonts w:hint="eastAsia"/>
                <w:szCs w:val="21"/>
              </w:rPr>
              <w:t>审核条款：EO6.1.2/6.1.3/6.2/8.2/9.1.2</w:t>
            </w:r>
          </w:p>
        </w:tc>
        <w:tc>
          <w:tcPr>
            <w:tcW w:w="698"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szCs w:val="21"/>
              </w:rPr>
            </w:pPr>
            <w:r>
              <w:rPr>
                <w:rFonts w:hint="eastAsia"/>
                <w:szCs w:val="21"/>
              </w:rPr>
              <w:t>合规义务、适用法律法规识别的充分性</w:t>
            </w:r>
          </w:p>
        </w:tc>
        <w:tc>
          <w:tcPr>
            <w:tcW w:w="960" w:type="dxa"/>
          </w:tcPr>
          <w:p>
            <w:pPr>
              <w:rPr>
                <w:szCs w:val="21"/>
              </w:rPr>
            </w:pPr>
            <w:r>
              <w:rPr>
                <w:rFonts w:hint="eastAsia"/>
                <w:szCs w:val="21"/>
              </w:rPr>
              <w:t>EO</w:t>
            </w:r>
          </w:p>
          <w:p>
            <w:pPr>
              <w:rPr>
                <w:szCs w:val="21"/>
              </w:rPr>
            </w:pPr>
            <w:r>
              <w:rPr>
                <w:rFonts w:hint="eastAsia"/>
                <w:szCs w:val="21"/>
              </w:rPr>
              <w:t>6.1.3</w:t>
            </w:r>
          </w:p>
        </w:tc>
        <w:tc>
          <w:tcPr>
            <w:tcW w:w="10891" w:type="dxa"/>
          </w:tcPr>
          <w:p>
            <w:pPr>
              <w:rPr>
                <w:szCs w:val="21"/>
              </w:rPr>
            </w:pPr>
            <w:r>
              <w:rPr>
                <w:szCs w:val="21"/>
              </w:rPr>
              <w:t>■</w:t>
            </w:r>
            <w:r>
              <w:rPr>
                <w:rFonts w:hint="eastAsia"/>
                <w:szCs w:val="21"/>
              </w:rPr>
              <w:t>对外来文件进行了识别收集，提供有《适用法律法规清单》，包括中华人民共和国环境保护法、消防法、固体废弃物环境防治法、DB11/501-2007《大气污染物综合排放标准》、GB12348-2008《工业企业厂界环境噪声排放标准》GB3095-2012《环境空气质量标准》、GB16297-1996</w:t>
            </w:r>
            <w:r>
              <w:rPr>
                <w:szCs w:val="21"/>
              </w:rPr>
              <w:t>《</w:t>
            </w:r>
            <w:r>
              <w:rPr>
                <w:rFonts w:hint="eastAsia"/>
                <w:szCs w:val="21"/>
              </w:rPr>
              <w:t>大气污染物综合排放</w:t>
            </w:r>
            <w:r>
              <w:rPr>
                <w:szCs w:val="21"/>
              </w:rPr>
              <w:t>标准》</w:t>
            </w:r>
            <w:r>
              <w:rPr>
                <w:rFonts w:hint="eastAsia"/>
                <w:szCs w:val="21"/>
              </w:rPr>
              <w:t>、</w:t>
            </w:r>
            <w:r>
              <w:rPr>
                <w:szCs w:val="21"/>
              </w:rPr>
              <w:t>GBZ2-200</w:t>
            </w:r>
            <w:r>
              <w:rPr>
                <w:rFonts w:hint="eastAsia"/>
                <w:szCs w:val="21"/>
              </w:rPr>
              <w:t>7《</w:t>
            </w:r>
            <w:r>
              <w:rPr>
                <w:szCs w:val="21"/>
              </w:rPr>
              <w:t>工作场所有害因素职业接触限值</w:t>
            </w:r>
            <w:r>
              <w:rPr>
                <w:rFonts w:hint="eastAsia"/>
                <w:szCs w:val="21"/>
              </w:rPr>
              <w:t>》GB/T24001-2016《环境管理体系 要求及使用指南》、ISO45001：2018《职业健康安全管理体系 要求及使用指南》等法规要求。</w:t>
            </w:r>
          </w:p>
        </w:tc>
        <w:tc>
          <w:tcPr>
            <w:tcW w:w="698"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160" w:type="dxa"/>
          </w:tcPr>
          <w:p>
            <w:pPr>
              <w:rPr>
                <w:szCs w:val="21"/>
              </w:rPr>
            </w:pPr>
            <w:r>
              <w:rPr>
                <w:rFonts w:hint="eastAsia"/>
                <w:szCs w:val="21"/>
              </w:rPr>
              <w:t>环境因素、危险源识别评价的充分性、适宜性</w:t>
            </w:r>
          </w:p>
        </w:tc>
        <w:tc>
          <w:tcPr>
            <w:tcW w:w="960" w:type="dxa"/>
          </w:tcPr>
          <w:p>
            <w:pPr>
              <w:rPr>
                <w:szCs w:val="21"/>
              </w:rPr>
            </w:pPr>
            <w:r>
              <w:rPr>
                <w:rFonts w:hint="eastAsia"/>
                <w:szCs w:val="21"/>
              </w:rPr>
              <w:t>EO</w:t>
            </w:r>
          </w:p>
          <w:p>
            <w:pPr>
              <w:rPr>
                <w:szCs w:val="21"/>
              </w:rPr>
            </w:pPr>
            <w:r>
              <w:rPr>
                <w:rFonts w:hint="eastAsia"/>
                <w:szCs w:val="21"/>
              </w:rPr>
              <w:t>6.1.2</w:t>
            </w:r>
          </w:p>
          <w:p>
            <w:pPr>
              <w:rPr>
                <w:szCs w:val="21"/>
              </w:rPr>
            </w:pPr>
          </w:p>
        </w:tc>
        <w:tc>
          <w:tcPr>
            <w:tcW w:w="10891" w:type="dxa"/>
          </w:tcPr>
          <w:p>
            <w:pPr>
              <w:tabs>
                <w:tab w:val="left" w:pos="6329"/>
              </w:tabs>
              <w:spacing w:line="288" w:lineRule="auto"/>
              <w:ind w:right="100"/>
            </w:pPr>
            <w:r>
              <w:rPr>
                <w:rFonts w:hint="eastAsia"/>
              </w:rPr>
              <w:t>编制了《环境因素识别与评价控制程序》、《危险源辨识别和控制程序》，符合标准要求。</w:t>
            </w:r>
          </w:p>
          <w:p>
            <w:pPr>
              <w:pStyle w:val="12"/>
              <w:ind w:left="0"/>
              <w:rPr>
                <w:color w:val="auto"/>
                <w:kern w:val="2"/>
                <w:szCs w:val="22"/>
                <w:u w:val="none"/>
              </w:rPr>
            </w:pPr>
            <w:r>
              <w:rPr>
                <w:rFonts w:hint="eastAsia"/>
                <w:color w:val="auto"/>
                <w:kern w:val="2"/>
                <w:szCs w:val="22"/>
                <w:u w:val="none"/>
              </w:rPr>
              <w:t>提供了《环境因素调查评价清单》，涉及生产部、综合部的有</w:t>
            </w:r>
          </w:p>
          <w:p>
            <w:pPr>
              <w:pStyle w:val="12"/>
              <w:ind w:left="0"/>
              <w:rPr>
                <w:color w:val="auto"/>
                <w:kern w:val="2"/>
                <w:szCs w:val="22"/>
                <w:u w:val="none"/>
              </w:rPr>
            </w:pPr>
            <w:r>
              <w:rPr>
                <w:rFonts w:hint="eastAsia"/>
                <w:color w:val="auto"/>
                <w:kern w:val="2"/>
                <w:szCs w:val="22"/>
                <w:u w:val="none"/>
              </w:rPr>
              <w:t>办公区及职能部门：水消耗；电消耗；纸张、笔、墨盒等消耗；电话、传真、网络等通讯设备的消耗；电器火灾；空调、电脑运行；电脑运行；空调冷却液的泄漏；电池废弃；生活垃圾废弃；打印机墨盒废弃；复印机硒鼓废弃；日光灯管废弃；办纸张、笔等公固废废弃；办公楼洗手间生活废水排放。</w:t>
            </w:r>
          </w:p>
          <w:p>
            <w:pPr>
              <w:pStyle w:val="12"/>
              <w:ind w:left="0"/>
              <w:rPr>
                <w:color w:val="auto"/>
                <w:kern w:val="2"/>
                <w:szCs w:val="22"/>
                <w:u w:val="none"/>
              </w:rPr>
            </w:pPr>
            <w:r>
              <w:rPr>
                <w:rFonts w:hint="eastAsia"/>
                <w:color w:val="auto"/>
                <w:kern w:val="2"/>
                <w:szCs w:val="22"/>
                <w:u w:val="none"/>
              </w:rPr>
              <w:t xml:space="preserve">生产现场： 生活垃圾、生产过程中废液、废耗材；离心机、漩涡振荡器等生产设备运转 </w:t>
            </w:r>
          </w:p>
          <w:p>
            <w:pPr>
              <w:pStyle w:val="12"/>
              <w:ind w:left="0"/>
              <w:rPr>
                <w:color w:val="auto"/>
                <w:kern w:val="2"/>
                <w:szCs w:val="22"/>
                <w:u w:val="none"/>
              </w:rPr>
            </w:pPr>
            <w:r>
              <w:rPr>
                <w:rFonts w:hint="eastAsia"/>
                <w:color w:val="auto"/>
                <w:kern w:val="2"/>
                <w:szCs w:val="22"/>
                <w:u w:val="none"/>
              </w:rPr>
              <w:t>芯片洗涤剩余水、清洗废水、消毒废水、生活污水。</w:t>
            </w:r>
          </w:p>
          <w:p>
            <w:pPr>
              <w:pStyle w:val="12"/>
              <w:ind w:left="0"/>
              <w:rPr>
                <w:color w:val="auto"/>
                <w:kern w:val="2"/>
                <w:szCs w:val="22"/>
                <w:u w:val="none"/>
              </w:rPr>
            </w:pPr>
            <w:r>
              <w:rPr>
                <w:rFonts w:hint="eastAsia"/>
                <w:color w:val="auto"/>
                <w:kern w:val="2"/>
                <w:szCs w:val="22"/>
                <w:u w:val="none"/>
              </w:rPr>
              <w:t>查看《重要环境因素清单》：火灾、固体废弃物的排放。</w:t>
            </w:r>
          </w:p>
          <w:p>
            <w:pPr>
              <w:pStyle w:val="12"/>
              <w:ind w:left="0"/>
              <w:rPr>
                <w:color w:val="auto"/>
                <w:kern w:val="2"/>
                <w:szCs w:val="22"/>
                <w:u w:val="none"/>
              </w:rPr>
            </w:pPr>
            <w:r>
              <w:rPr>
                <w:rFonts w:hint="eastAsia"/>
                <w:color w:val="auto"/>
                <w:kern w:val="2"/>
                <w:szCs w:val="22"/>
                <w:u w:val="none"/>
              </w:rPr>
              <w:t>提供了《危险源清单》，危险源为：线路老化短路、消防器材配置不足或失效等；设备误操作、监视测量设备接地失效或漏电、无证人员操作配电室等。</w:t>
            </w:r>
          </w:p>
          <w:p>
            <w:pPr>
              <w:pStyle w:val="12"/>
              <w:ind w:left="0"/>
              <w:rPr>
                <w:color w:val="auto"/>
                <w:kern w:val="2"/>
                <w:szCs w:val="22"/>
                <w:u w:val="none"/>
              </w:rPr>
            </w:pPr>
            <w:r>
              <w:rPr>
                <w:rFonts w:hint="eastAsia"/>
                <w:color w:val="auto"/>
                <w:kern w:val="2"/>
                <w:szCs w:val="22"/>
                <w:u w:val="none"/>
              </w:rPr>
              <w:t>公司通过LEC评价法对危险源进行风险评价，提供有《职业健康危险源和风险评价表》。</w:t>
            </w:r>
          </w:p>
          <w:p>
            <w:pPr>
              <w:rPr>
                <w:szCs w:val="21"/>
              </w:rPr>
            </w:pPr>
            <w:r>
              <w:rPr>
                <w:rFonts w:hint="eastAsia"/>
              </w:rPr>
              <w:t>查看《公司不可接受风险清单》，不可接受风险为：触电、火灾、设备运转伤害和物体打击</w:t>
            </w:r>
            <w:r>
              <w:rPr>
                <w:rFonts w:hint="eastAsia"/>
                <w:lang w:val="en-US" w:eastAsia="zh-CN"/>
              </w:rPr>
              <w:t>等意外伤害</w:t>
            </w:r>
            <w:r>
              <w:rPr>
                <w:rFonts w:hint="eastAsia"/>
              </w:rPr>
              <w:t>。</w:t>
            </w:r>
          </w:p>
        </w:tc>
        <w:tc>
          <w:tcPr>
            <w:tcW w:w="698"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tcPr>
          <w:p>
            <w:pPr>
              <w:rPr>
                <w:szCs w:val="21"/>
              </w:rPr>
            </w:pPr>
            <w:r>
              <w:rPr>
                <w:rFonts w:hint="eastAsia"/>
                <w:szCs w:val="21"/>
              </w:rPr>
              <w:t>目标指标的合理性，管理方案的可行性</w:t>
            </w:r>
          </w:p>
        </w:tc>
        <w:tc>
          <w:tcPr>
            <w:tcW w:w="960" w:type="dxa"/>
          </w:tcPr>
          <w:p>
            <w:pPr>
              <w:rPr>
                <w:szCs w:val="21"/>
              </w:rPr>
            </w:pPr>
            <w:r>
              <w:rPr>
                <w:rFonts w:hint="eastAsia"/>
                <w:szCs w:val="21"/>
              </w:rPr>
              <w:t>EO</w:t>
            </w:r>
          </w:p>
          <w:p>
            <w:pPr>
              <w:rPr>
                <w:szCs w:val="21"/>
              </w:rPr>
            </w:pPr>
            <w:r>
              <w:rPr>
                <w:rFonts w:hint="eastAsia"/>
                <w:szCs w:val="21"/>
              </w:rPr>
              <w:t>6.2</w:t>
            </w:r>
          </w:p>
        </w:tc>
        <w:tc>
          <w:tcPr>
            <w:tcW w:w="10891" w:type="dxa"/>
          </w:tcPr>
          <w:p>
            <w:r>
              <w:rPr>
                <w:rFonts w:hint="eastAsia" w:cs="宋体"/>
              </w:rPr>
              <w:t>环境目标指标：</w:t>
            </w:r>
            <w:r>
              <w:rPr>
                <w:rFonts w:hint="eastAsia" w:hAnsi="宋体"/>
              </w:rPr>
              <w:t>固体废弃物分类回收率100%，合理处置。</w:t>
            </w:r>
          </w:p>
          <w:p>
            <w:r>
              <w:rPr>
                <w:rFonts w:hint="eastAsia" w:cs="宋体"/>
              </w:rPr>
              <w:t>管理方案：废日光灯放入专用垃圾箱，做好标识，交办公室集中回收，统一处理。废电池用塑料袋装好，做好标识，交办公室集中回收，统一处理。废硒鼓用塑料袋装好，做好标识，交办公室集中回收，统一处理。尽量用电子邮件和内部局域网传递资料，材料纸张采用双面打印。废纸放入可回收箱，集中外收废纸收购站。不可回收垃圾集中收集，倒入市政垃圾箱或运至垃圾处理。教育员工不随意丢垃圾，加强检查。完成时间：</w:t>
            </w:r>
            <w:r>
              <w:rPr>
                <w:rFonts w:hint="eastAsia"/>
                <w:lang w:val="en-US" w:eastAsia="zh-CN"/>
              </w:rPr>
              <w:t>2020.12</w:t>
            </w:r>
            <w:r>
              <w:rPr>
                <w:rFonts w:hint="eastAsia" w:cs="宋体"/>
              </w:rPr>
              <w:t>费用</w:t>
            </w:r>
            <w:r>
              <w:rPr>
                <w:rFonts w:hint="eastAsia" w:cs="宋体"/>
                <w:lang w:val="en-US" w:eastAsia="zh-CN"/>
              </w:rPr>
              <w:t>10</w:t>
            </w:r>
            <w:r>
              <w:t>00</w:t>
            </w:r>
            <w:r>
              <w:rPr>
                <w:rFonts w:hint="eastAsia" w:cs="宋体"/>
              </w:rPr>
              <w:t>元</w:t>
            </w:r>
            <w:r>
              <w:t xml:space="preserve"> </w:t>
            </w:r>
          </w:p>
          <w:p>
            <w:pPr>
              <w:rPr>
                <w:rFonts w:hint="eastAsia" w:eastAsia="宋体"/>
                <w:lang w:eastAsia="zh-CN"/>
              </w:rPr>
            </w:pPr>
            <w:r>
              <w:rPr>
                <w:rFonts w:hint="eastAsia" w:cs="宋体"/>
              </w:rPr>
              <w:t>责任部门：各部门，监控部门：</w:t>
            </w:r>
            <w:r>
              <w:rPr>
                <w:rFonts w:hint="eastAsia" w:cs="宋体"/>
                <w:lang w:val="en-US" w:eastAsia="zh-CN"/>
              </w:rPr>
              <w:t>综合部</w:t>
            </w:r>
          </w:p>
          <w:p>
            <w:pPr>
              <w:spacing w:line="320" w:lineRule="exact"/>
              <w:rPr>
                <w:rFonts w:hint="eastAsia" w:ascii="Times New Roman" w:hAnsi="宋体" w:cs="Times New Roman"/>
                <w:bCs/>
                <w:szCs w:val="22"/>
              </w:rPr>
            </w:pPr>
            <w:r>
              <w:rPr>
                <w:rFonts w:hint="eastAsia" w:cs="宋体"/>
                <w:lang w:val="en-US" w:eastAsia="zh-CN"/>
              </w:rPr>
              <w:t>职业健康</w:t>
            </w:r>
            <w:r>
              <w:rPr>
                <w:rFonts w:hint="eastAsia" w:cs="宋体"/>
              </w:rPr>
              <w:t>安全目标、</w:t>
            </w:r>
            <w:r>
              <w:rPr>
                <w:rFonts w:hint="eastAsia" w:ascii="Times New Roman" w:hAnsi="宋体" w:cs="Times New Roman"/>
                <w:bCs/>
                <w:szCs w:val="22"/>
              </w:rPr>
              <w:t>指标：无火灾事故发生</w:t>
            </w:r>
          </w:p>
          <w:p>
            <w:pPr>
              <w:spacing w:line="320" w:lineRule="exact"/>
            </w:pPr>
            <w:r>
              <w:rPr>
                <w:rFonts w:hint="eastAsia" w:ascii="Times New Roman" w:hAnsi="宋体" w:cs="Times New Roman"/>
                <w:bCs/>
                <w:szCs w:val="22"/>
              </w:rPr>
              <w:t>管理方案：1、按照《应急准备与响应预案》及《消</w:t>
            </w:r>
            <w:r>
              <w:rPr>
                <w:rFonts w:hint="eastAsia" w:hAnsi="宋体"/>
                <w:bCs/>
              </w:rPr>
              <w:t>防安全管理制度》控制，配置禁止烟火标志和灭火器。2、对</w:t>
            </w:r>
            <w:r>
              <w:rPr>
                <w:rFonts w:hint="eastAsia" w:hAnsi="宋体"/>
                <w:bCs/>
                <w:lang w:val="en-US" w:eastAsia="zh-CN"/>
              </w:rPr>
              <w:t>员工</w:t>
            </w:r>
            <w:r>
              <w:rPr>
                <w:rFonts w:hint="eastAsia" w:hAnsi="宋体"/>
                <w:bCs/>
              </w:rPr>
              <w:t>进行消防知识的培训和教育。3.定期进行安全消防检查。</w:t>
            </w:r>
          </w:p>
          <w:p>
            <w:pPr>
              <w:rPr>
                <w:rFonts w:hint="eastAsia" w:eastAsia="宋体"/>
                <w:lang w:eastAsia="zh-CN"/>
              </w:rPr>
            </w:pPr>
            <w:r>
              <w:rPr>
                <w:rFonts w:hint="eastAsia" w:cs="宋体"/>
              </w:rPr>
              <w:t>完成时间：</w:t>
            </w:r>
            <w:r>
              <w:rPr>
                <w:rFonts w:hint="eastAsia"/>
                <w:lang w:val="en-US" w:eastAsia="zh-CN"/>
              </w:rPr>
              <w:t>2020.12</w:t>
            </w:r>
            <w:r>
              <w:t xml:space="preserve"> </w:t>
            </w:r>
            <w:r>
              <w:rPr>
                <w:rFonts w:hint="eastAsia" w:cs="宋体"/>
              </w:rPr>
              <w:t>费用：</w:t>
            </w:r>
            <w:r>
              <w:rPr>
                <w:rFonts w:hint="eastAsia" w:cs="宋体"/>
                <w:lang w:val="en-US" w:eastAsia="zh-CN"/>
              </w:rPr>
              <w:t>10</w:t>
            </w:r>
            <w:r>
              <w:t>00</w:t>
            </w:r>
            <w:r>
              <w:rPr>
                <w:rFonts w:hint="eastAsia" w:cs="宋体"/>
              </w:rPr>
              <w:t>元</w:t>
            </w:r>
            <w:r>
              <w:t xml:space="preserve"> </w:t>
            </w:r>
            <w:r>
              <w:rPr>
                <w:rFonts w:hint="eastAsia" w:cs="宋体"/>
              </w:rPr>
              <w:t>责任部门：</w:t>
            </w:r>
            <w:r>
              <w:rPr>
                <w:rFonts w:hint="eastAsia" w:cs="宋体"/>
                <w:lang w:val="en-US" w:eastAsia="zh-CN"/>
              </w:rPr>
              <w:t>综合部</w:t>
            </w:r>
          </w:p>
          <w:p>
            <w:r>
              <w:rPr>
                <w:rFonts w:hint="eastAsia"/>
                <w:lang w:val="en-US" w:eastAsia="zh-CN"/>
              </w:rPr>
              <w:t>综合部</w:t>
            </w:r>
            <w:r>
              <w:t>负责编制方案，并监督、验证实施进度。</w:t>
            </w:r>
          </w:p>
          <w:p>
            <w:r>
              <w:t>各部门负责目标、指标与方案的具体实施。</w:t>
            </w:r>
          </w:p>
          <w:p>
            <w:pPr>
              <w:rPr>
                <w:szCs w:val="21"/>
              </w:rPr>
            </w:pPr>
            <w:r>
              <w:t>策划的</w:t>
            </w:r>
            <w:r>
              <w:rPr>
                <w:rFonts w:hint="eastAsia"/>
                <w:lang w:val="en-US" w:eastAsia="zh-CN"/>
              </w:rPr>
              <w:t>环境、</w:t>
            </w:r>
            <w:r>
              <w:rPr>
                <w:rFonts w:hint="eastAsia"/>
                <w:lang w:eastAsia="zh-CN"/>
              </w:rPr>
              <w:t>职业健康安全</w:t>
            </w:r>
            <w:r>
              <w:t>目标指标管理方案</w:t>
            </w:r>
            <w:r>
              <w:rPr>
                <w:rFonts w:hint="eastAsia"/>
              </w:rPr>
              <w:t>基本可行。</w:t>
            </w:r>
          </w:p>
        </w:tc>
        <w:tc>
          <w:tcPr>
            <w:tcW w:w="698"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tcPr>
          <w:p>
            <w:pPr>
              <w:rPr>
                <w:szCs w:val="21"/>
              </w:rPr>
            </w:pPr>
            <w:r>
              <w:rPr>
                <w:rFonts w:hint="eastAsia"/>
                <w:szCs w:val="21"/>
              </w:rPr>
              <w:t>应急准备和响应</w:t>
            </w:r>
          </w:p>
        </w:tc>
        <w:tc>
          <w:tcPr>
            <w:tcW w:w="960" w:type="dxa"/>
          </w:tcPr>
          <w:p>
            <w:pPr>
              <w:rPr>
                <w:szCs w:val="21"/>
              </w:rPr>
            </w:pPr>
            <w:r>
              <w:rPr>
                <w:rFonts w:hint="eastAsia"/>
                <w:szCs w:val="21"/>
              </w:rPr>
              <w:t>EO8.2</w:t>
            </w:r>
          </w:p>
        </w:tc>
        <w:tc>
          <w:tcPr>
            <w:tcW w:w="10891" w:type="dxa"/>
          </w:tcPr>
          <w:p>
            <w:pPr>
              <w:rPr>
                <w:rFonts w:cs="宋体"/>
                <w:bCs/>
                <w:szCs w:val="21"/>
              </w:rPr>
            </w:pPr>
            <w:r>
              <w:rPr>
                <w:rFonts w:hint="eastAsia"/>
                <w:szCs w:val="22"/>
              </w:rPr>
              <w:t>公司制定有《应急准备和响应控制程序》，</w:t>
            </w:r>
            <w:r>
              <w:rPr>
                <w:rFonts w:hint="eastAsia" w:ascii="宋体" w:hAnsi="宋体"/>
                <w:bCs/>
                <w:color w:val="auto"/>
                <w:sz w:val="21"/>
                <w:szCs w:val="21"/>
                <w:u w:val="none" w:color="auto"/>
                <w:lang w:eastAsia="zh-CN"/>
              </w:rPr>
              <w:t>识别的潜在意外紧急情况为火灾、触电、</w:t>
            </w:r>
            <w:r>
              <w:rPr>
                <w:rFonts w:hint="eastAsia" w:ascii="宋体" w:hAnsi="宋体"/>
                <w:bCs/>
                <w:color w:val="auto"/>
                <w:sz w:val="21"/>
                <w:szCs w:val="21"/>
                <w:u w:val="none" w:color="auto"/>
                <w:lang w:val="en-US" w:eastAsia="zh-CN"/>
              </w:rPr>
              <w:t>机械伤害</w:t>
            </w:r>
            <w:r>
              <w:rPr>
                <w:rFonts w:hint="eastAsia" w:ascii="宋体" w:hAnsi="宋体"/>
                <w:bCs/>
                <w:color w:val="auto"/>
                <w:sz w:val="21"/>
                <w:szCs w:val="21"/>
                <w:u w:val="none" w:color="auto"/>
                <w:lang w:eastAsia="zh-CN"/>
              </w:rPr>
              <w:t>等。编制了应急预案—包括火灾、触电应急预案，</w:t>
            </w:r>
            <w:r>
              <w:rPr>
                <w:rFonts w:hint="eastAsia" w:ascii="宋体" w:hAnsi="宋体"/>
                <w:bCs/>
                <w:color w:val="auto"/>
                <w:sz w:val="21"/>
                <w:szCs w:val="21"/>
                <w:u w:val="none" w:color="auto"/>
                <w:lang w:val="en-US" w:eastAsia="zh-CN"/>
              </w:rPr>
              <w:t>公司</w:t>
            </w:r>
            <w:bookmarkStart w:id="2" w:name="_GoBack"/>
            <w:bookmarkEnd w:id="2"/>
            <w:r>
              <w:rPr>
                <w:rFonts w:hint="eastAsia"/>
                <w:szCs w:val="22"/>
              </w:rPr>
              <w:t>于2</w:t>
            </w:r>
            <w:r>
              <w:rPr>
                <w:szCs w:val="22"/>
              </w:rPr>
              <w:t>020</w:t>
            </w:r>
            <w:r>
              <w:rPr>
                <w:rFonts w:hint="eastAsia"/>
                <w:szCs w:val="22"/>
              </w:rPr>
              <w:t>年11月</w:t>
            </w:r>
            <w:r>
              <w:rPr>
                <w:szCs w:val="22"/>
              </w:rPr>
              <w:t>13</w:t>
            </w:r>
            <w:r>
              <w:rPr>
                <w:rFonts w:hint="eastAsia"/>
                <w:szCs w:val="22"/>
              </w:rPr>
              <w:t>日组织了公司的火灾消防演练，并提供了相应演练记录。</w:t>
            </w:r>
          </w:p>
        </w:tc>
        <w:tc>
          <w:tcPr>
            <w:tcW w:w="69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tcPr>
          <w:p>
            <w:pPr>
              <w:rPr>
                <w:szCs w:val="21"/>
              </w:rPr>
            </w:pPr>
            <w:r>
              <w:rPr>
                <w:rFonts w:hint="eastAsia"/>
                <w:szCs w:val="21"/>
              </w:rPr>
              <w:t>合规性评价</w:t>
            </w:r>
          </w:p>
        </w:tc>
        <w:tc>
          <w:tcPr>
            <w:tcW w:w="960" w:type="dxa"/>
          </w:tcPr>
          <w:p>
            <w:pPr>
              <w:rPr>
                <w:szCs w:val="21"/>
              </w:rPr>
            </w:pPr>
            <w:r>
              <w:rPr>
                <w:rFonts w:hint="eastAsia"/>
                <w:szCs w:val="21"/>
              </w:rPr>
              <w:t>EO</w:t>
            </w:r>
            <w:r>
              <w:rPr>
                <w:szCs w:val="21"/>
              </w:rPr>
              <w:t>9.1.2</w:t>
            </w:r>
          </w:p>
        </w:tc>
        <w:tc>
          <w:tcPr>
            <w:tcW w:w="10891" w:type="dxa"/>
          </w:tcPr>
          <w:p>
            <w:pPr>
              <w:rPr>
                <w:szCs w:val="22"/>
              </w:rPr>
            </w:pPr>
            <w:r>
              <w:rPr>
                <w:rFonts w:hint="eastAsia"/>
                <w:szCs w:val="22"/>
              </w:rPr>
              <w:t>综合部于2</w:t>
            </w:r>
            <w:r>
              <w:rPr>
                <w:szCs w:val="22"/>
              </w:rPr>
              <w:t>020</w:t>
            </w:r>
            <w:r>
              <w:rPr>
                <w:rFonts w:hint="eastAsia"/>
                <w:szCs w:val="22"/>
              </w:rPr>
              <w:t>年1</w:t>
            </w:r>
            <w:r>
              <w:rPr>
                <w:szCs w:val="22"/>
              </w:rPr>
              <w:t>1</w:t>
            </w:r>
            <w:r>
              <w:rPr>
                <w:rFonts w:hint="eastAsia"/>
                <w:szCs w:val="22"/>
              </w:rPr>
              <w:t>月1</w:t>
            </w:r>
            <w:r>
              <w:rPr>
                <w:szCs w:val="22"/>
              </w:rPr>
              <w:t>0</w:t>
            </w:r>
            <w:r>
              <w:rPr>
                <w:rFonts w:hint="eastAsia"/>
                <w:szCs w:val="22"/>
              </w:rPr>
              <w:t>日组织了合规性评价，并提供了合规性评价报告。没有违法国家法律、法规及相关标准，严格遵守国家有关环境方面的规定，密切关注法律法规的变化，并适时调整，严格按体系标准执行。</w:t>
            </w:r>
          </w:p>
        </w:tc>
        <w:tc>
          <w:tcPr>
            <w:tcW w:w="698" w:type="dxa"/>
          </w:tcPr>
          <w:p>
            <w:pPr>
              <w:rPr>
                <w:szCs w:val="21"/>
              </w:rPr>
            </w:pPr>
          </w:p>
        </w:tc>
      </w:tr>
    </w:tbl>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F7270"/>
    <w:rsid w:val="00027D26"/>
    <w:rsid w:val="0005217E"/>
    <w:rsid w:val="001954BC"/>
    <w:rsid w:val="001C5ABF"/>
    <w:rsid w:val="0034360A"/>
    <w:rsid w:val="003E4F17"/>
    <w:rsid w:val="004439ED"/>
    <w:rsid w:val="00482F7E"/>
    <w:rsid w:val="00505AFD"/>
    <w:rsid w:val="00560E45"/>
    <w:rsid w:val="00587A33"/>
    <w:rsid w:val="005B0AF3"/>
    <w:rsid w:val="005C2305"/>
    <w:rsid w:val="00615A41"/>
    <w:rsid w:val="00625EED"/>
    <w:rsid w:val="00636CAF"/>
    <w:rsid w:val="007037A2"/>
    <w:rsid w:val="008727B4"/>
    <w:rsid w:val="008F4469"/>
    <w:rsid w:val="009351FF"/>
    <w:rsid w:val="00A572F3"/>
    <w:rsid w:val="00AD77A7"/>
    <w:rsid w:val="00BF7270"/>
    <w:rsid w:val="00C65F59"/>
    <w:rsid w:val="00D46E32"/>
    <w:rsid w:val="00DF1AD5"/>
    <w:rsid w:val="00E62946"/>
    <w:rsid w:val="00EC2BAB"/>
    <w:rsid w:val="00F50D68"/>
    <w:rsid w:val="00FA68B7"/>
    <w:rsid w:val="00FA719F"/>
    <w:rsid w:val="00FE2BF1"/>
    <w:rsid w:val="170B4AA9"/>
    <w:rsid w:val="24C3799F"/>
    <w:rsid w:val="289A5430"/>
    <w:rsid w:val="2D2D215C"/>
    <w:rsid w:val="40571425"/>
    <w:rsid w:val="46D76E0C"/>
    <w:rsid w:val="5AD5026D"/>
    <w:rsid w:val="5E876661"/>
    <w:rsid w:val="5EF05F82"/>
    <w:rsid w:val="6A9318E9"/>
    <w:rsid w:val="6C0F365F"/>
    <w:rsid w:val="70672818"/>
    <w:rsid w:val="786C205E"/>
    <w:rsid w:val="7F6E1D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jc w:val="center"/>
      <w:outlineLvl w:val="0"/>
    </w:pPr>
    <w:rPr>
      <w:rFonts w:ascii="Calibri" w:hAnsi="Calibri"/>
      <w:b/>
      <w:kern w:val="44"/>
      <w:sz w:val="44"/>
      <w:szCs w:val="2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185</Words>
  <Characters>1059</Characters>
  <Lines>8</Lines>
  <Paragraphs>2</Paragraphs>
  <TotalTime>0</TotalTime>
  <ScaleCrop>false</ScaleCrop>
  <LinksUpToDate>false</LinksUpToDate>
  <CharactersWithSpaces>1242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2021-02-09T08:14:13Z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