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9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87"/>
        <w:gridCol w:w="87"/>
        <w:gridCol w:w="666"/>
        <w:gridCol w:w="695"/>
        <w:gridCol w:w="145"/>
        <w:gridCol w:w="958"/>
        <w:gridCol w:w="137"/>
        <w:gridCol w:w="1506"/>
        <w:gridCol w:w="548"/>
        <w:gridCol w:w="1095"/>
        <w:gridCol w:w="275"/>
        <w:gridCol w:w="410"/>
        <w:gridCol w:w="411"/>
        <w:gridCol w:w="410"/>
        <w:gridCol w:w="1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3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445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成都雨泽瑞电器制造有限公司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43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46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0085-2021-Q</w:t>
            </w:r>
            <w:bookmarkEnd w:id="1"/>
          </w:p>
        </w:tc>
        <w:tc>
          <w:tcPr>
            <w:tcW w:w="164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33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3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46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陈宇</w:t>
            </w:r>
            <w:bookmarkEnd w:id="5"/>
          </w:p>
        </w:tc>
        <w:tc>
          <w:tcPr>
            <w:tcW w:w="164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13980560907</w:t>
            </w:r>
            <w:bookmarkEnd w:id="6"/>
          </w:p>
        </w:tc>
        <w:tc>
          <w:tcPr>
            <w:tcW w:w="685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2503993195@qq.com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34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464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val="en-US" w:eastAsia="zh-CN"/>
              </w:rPr>
              <w:t>陈磊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643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685" w:type="dxa"/>
            <w:gridSpan w:val="2"/>
            <w:vMerge w:val="continue"/>
            <w:vAlign w:val="center"/>
          </w:tcPr>
          <w:p/>
        </w:tc>
        <w:tc>
          <w:tcPr>
            <w:tcW w:w="2010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1434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445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434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025" w:type="dxa"/>
            <w:gridSpan w:val="9"/>
            <w:vAlign w:val="center"/>
          </w:tcPr>
          <w:p>
            <w:bookmarkStart w:id="10" w:name="审核范围"/>
            <w:r>
              <w:t>电力设备、电力施工工具、电气试验设备及仪器仪表、涂料、办公用品的销售</w:t>
            </w:r>
            <w:bookmarkEnd w:id="10"/>
          </w:p>
        </w:tc>
        <w:tc>
          <w:tcPr>
            <w:tcW w:w="821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599" w:type="dxa"/>
            <w:gridSpan w:val="2"/>
            <w:vAlign w:val="center"/>
          </w:tcPr>
          <w:p>
            <w:bookmarkStart w:id="11" w:name="专业代码"/>
            <w:r>
              <w:t>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434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445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34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445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2021年02月01日 下午至2021年02月01日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34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445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879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5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0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28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5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0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28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50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47" w:type="dxa"/>
            <w:gridSpan w:val="2"/>
            <w:vAlign w:val="center"/>
          </w:tcPr>
          <w:p/>
        </w:tc>
        <w:tc>
          <w:tcPr>
            <w:tcW w:w="753" w:type="dxa"/>
            <w:gridSpan w:val="2"/>
            <w:vAlign w:val="center"/>
          </w:tcPr>
          <w:p/>
        </w:tc>
        <w:tc>
          <w:tcPr>
            <w:tcW w:w="695" w:type="dxa"/>
            <w:vAlign w:val="center"/>
          </w:tcPr>
          <w:p/>
        </w:tc>
        <w:tc>
          <w:tcPr>
            <w:tcW w:w="1103" w:type="dxa"/>
            <w:gridSpan w:val="2"/>
            <w:vAlign w:val="center"/>
          </w:tcPr>
          <w:p/>
        </w:tc>
        <w:tc>
          <w:tcPr>
            <w:tcW w:w="3286" w:type="dxa"/>
            <w:gridSpan w:val="4"/>
            <w:vAlign w:val="center"/>
          </w:tcPr>
          <w:p/>
        </w:tc>
        <w:tc>
          <w:tcPr>
            <w:tcW w:w="1506" w:type="dxa"/>
            <w:gridSpan w:val="4"/>
            <w:vAlign w:val="center"/>
          </w:tcPr>
          <w:p/>
        </w:tc>
        <w:tc>
          <w:tcPr>
            <w:tcW w:w="118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9879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780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李林</w:t>
            </w:r>
          </w:p>
        </w:tc>
        <w:tc>
          <w:tcPr>
            <w:tcW w:w="1095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05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7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420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60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80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095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05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70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420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60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80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2021.01.28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420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snapToGrid w:val="0"/>
        <w:spacing w:before="163"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473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419"/>
        <w:gridCol w:w="7399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4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3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90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74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4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739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90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0" w:hRule="atLeast"/>
        </w:trPr>
        <w:tc>
          <w:tcPr>
            <w:tcW w:w="74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739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经营现场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90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74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bookmarkStart w:id="14" w:name="_GoBack"/>
            <w:bookmarkEnd w:id="14"/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739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90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533DE9"/>
    <w:rsid w:val="164811FF"/>
    <w:rsid w:val="22DA242F"/>
    <w:rsid w:val="238657B3"/>
    <w:rsid w:val="28726D50"/>
    <w:rsid w:val="40335091"/>
    <w:rsid w:val="4A2F4854"/>
    <w:rsid w:val="4A6B17AD"/>
    <w:rsid w:val="50F76150"/>
    <w:rsid w:val="565A7AC4"/>
    <w:rsid w:val="58CF17D2"/>
    <w:rsid w:val="60805940"/>
    <w:rsid w:val="6D335B71"/>
    <w:rsid w:val="77402E86"/>
    <w:rsid w:val="7A6429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2021-02-02T07:11:08Z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