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0079-2021-QEO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重庆今合商贸有限公司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Q:29.07.03,29.07.08</w:t>
            </w:r>
          </w:p>
          <w:p>
            <w:pPr>
              <w:spacing w:line="240" w:lineRule="exact"/>
              <w:jc w:val="center"/>
              <w:rPr>
                <w:b/>
                <w:color w:val="000000"/>
                <w:sz w:val="20"/>
                <w:szCs w:val="20"/>
              </w:rPr>
            </w:pPr>
            <w:r>
              <w:rPr>
                <w:b/>
                <w:color w:val="000000"/>
                <w:sz w:val="20"/>
                <w:szCs w:val="20"/>
              </w:rPr>
              <w:t>E:29.07.03,29.07.08</w:t>
            </w:r>
          </w:p>
          <w:p>
            <w:pPr>
              <w:spacing w:line="240" w:lineRule="exact"/>
              <w:jc w:val="center"/>
              <w:rPr>
                <w:b/>
                <w:color w:val="000000"/>
                <w:sz w:val="20"/>
                <w:szCs w:val="20"/>
              </w:rPr>
            </w:pPr>
            <w:r>
              <w:rPr>
                <w:b/>
                <w:color w:val="000000"/>
                <w:sz w:val="20"/>
                <w:szCs w:val="20"/>
              </w:rPr>
              <w:t>O:29.07.03,29.07.08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r>
              <w:rPr>
                <w:b/>
                <w:color w:val="000000"/>
                <w:sz w:val="20"/>
                <w:szCs w:val="20"/>
              </w:rPr>
              <w:t>Q:29.07.03,29.07.08</w:t>
            </w:r>
          </w:p>
          <w:p>
            <w:pPr>
              <w:spacing w:line="240" w:lineRule="exact"/>
              <w:jc w:val="center"/>
              <w:rPr>
                <w:b/>
                <w:color w:val="000000"/>
                <w:sz w:val="20"/>
                <w:szCs w:val="20"/>
              </w:rPr>
            </w:pPr>
            <w:r>
              <w:rPr>
                <w:b/>
                <w:color w:val="000000"/>
                <w:sz w:val="20"/>
                <w:szCs w:val="20"/>
              </w:rPr>
              <w:t>E:29.07.03,29.07.08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重庆今合商贸有限公司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重庆市渝北区龙山街道余松路449号岳阳综合大厦1幢12-3</w:t>
            </w:r>
            <w:bookmarkEnd w:id="10"/>
          </w:p>
        </w:tc>
        <w:tc>
          <w:tcPr>
            <w:tcW w:w="848"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52" w:type="dxa"/>
          </w:tcPr>
          <w:p>
            <w:pPr>
              <w:spacing w:line="280" w:lineRule="exact"/>
              <w:rPr>
                <w:rFonts w:ascii="宋体"/>
                <w:b/>
                <w:color w:val="000000"/>
                <w:sz w:val="20"/>
                <w:szCs w:val="20"/>
              </w:rPr>
            </w:pPr>
            <w:bookmarkStart w:id="11" w:name="注册邮编"/>
            <w:r>
              <w:rPr>
                <w:rFonts w:ascii="宋体"/>
                <w:b/>
                <w:color w:val="000000"/>
                <w:sz w:val="20"/>
                <w:szCs w:val="20"/>
              </w:rPr>
              <w:t>401147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848" w:type="dxa"/>
            <w:vMerge w:val="continue"/>
            <w:vAlign w:val="center"/>
          </w:tcPr>
          <w:p>
            <w:pPr>
              <w:spacing w:line="280" w:lineRule="exact"/>
              <w:jc w:val="center"/>
              <w:rPr>
                <w:rFonts w:ascii="宋体"/>
                <w:b/>
                <w:color w:val="000000"/>
                <w:sz w:val="20"/>
                <w:szCs w:val="20"/>
              </w:rPr>
            </w:pPr>
          </w:p>
        </w:tc>
        <w:tc>
          <w:tcPr>
            <w:tcW w:w="1952"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重庆市渝北区龙山街道余松路449号岳阳综合大厦1幢12-3</w:t>
            </w:r>
            <w:bookmarkEnd w:id="14"/>
          </w:p>
        </w:tc>
        <w:tc>
          <w:tcPr>
            <w:tcW w:w="848" w:type="dxa"/>
            <w:vMerge w:val="continue"/>
            <w:vAlign w:val="center"/>
          </w:tcPr>
          <w:p>
            <w:pPr>
              <w:spacing w:line="280" w:lineRule="exact"/>
              <w:jc w:val="center"/>
              <w:rPr>
                <w:rFonts w:ascii="宋体"/>
                <w:b/>
                <w:color w:val="000000"/>
                <w:sz w:val="20"/>
                <w:szCs w:val="20"/>
              </w:rPr>
            </w:pPr>
          </w:p>
        </w:tc>
        <w:tc>
          <w:tcPr>
            <w:tcW w:w="1952" w:type="dxa"/>
          </w:tcPr>
          <w:p>
            <w:pPr>
              <w:spacing w:line="280" w:lineRule="exact"/>
              <w:rPr>
                <w:rFonts w:ascii="宋体"/>
                <w:b/>
                <w:color w:val="000000"/>
                <w:sz w:val="20"/>
                <w:szCs w:val="20"/>
              </w:rPr>
            </w:pPr>
            <w:bookmarkStart w:id="15" w:name="生产邮编Add1"/>
            <w:r>
              <w:rPr>
                <w:rFonts w:ascii="宋体"/>
                <w:b/>
                <w:color w:val="000000"/>
                <w:sz w:val="20"/>
                <w:szCs w:val="20"/>
              </w:rPr>
              <w:t>401147</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谢今</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13098699399</w:t>
            </w:r>
            <w:bookmarkEnd w:id="17"/>
          </w:p>
        </w:tc>
        <w:tc>
          <w:tcPr>
            <w:tcW w:w="84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52"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谢今</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谢积平</w:t>
            </w:r>
            <w:bookmarkEnd w:id="20"/>
          </w:p>
        </w:tc>
        <w:tc>
          <w:tcPr>
            <w:tcW w:w="848" w:type="dxa"/>
          </w:tcPr>
          <w:p>
            <w:pPr>
              <w:jc w:val="center"/>
              <w:rPr>
                <w:rFonts w:ascii="宋体"/>
                <w:b/>
                <w:color w:val="000000"/>
                <w:sz w:val="20"/>
                <w:szCs w:val="20"/>
              </w:rPr>
            </w:pPr>
            <w:r>
              <w:rPr>
                <w:rFonts w:hint="eastAsia" w:ascii="宋体"/>
                <w:b/>
                <w:color w:val="000000"/>
                <w:sz w:val="20"/>
                <w:szCs w:val="20"/>
              </w:rPr>
              <w:t>邮箱</w:t>
            </w:r>
          </w:p>
        </w:tc>
        <w:tc>
          <w:tcPr>
            <w:tcW w:w="1952"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Q：许可范围类预包装食品、婴幼儿配方乳粉的销售</w:t>
            </w:r>
          </w:p>
          <w:p>
            <w:pPr>
              <w:spacing w:line="400" w:lineRule="exact"/>
              <w:rPr>
                <w:rFonts w:ascii="宋体" w:hAnsi="宋体"/>
                <w:b/>
                <w:color w:val="000000"/>
                <w:sz w:val="20"/>
                <w:szCs w:val="20"/>
              </w:rPr>
            </w:pPr>
            <w:r>
              <w:rPr>
                <w:rFonts w:ascii="宋体" w:hAnsi="宋体"/>
                <w:b/>
                <w:color w:val="000000"/>
                <w:sz w:val="20"/>
                <w:szCs w:val="20"/>
              </w:rPr>
              <w:t>E：许可范围类预包装食品、婴幼儿配方乳粉的销售所涉及场所的相关环境管理活动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O：许可范围类预包装食品、婴幼儿配方乳粉的销售所涉及场所的相关职业健康安全管理活动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Q：29.07.03;29.07.08</w:t>
            </w:r>
          </w:p>
          <w:p>
            <w:pPr>
              <w:spacing w:line="280" w:lineRule="exact"/>
              <w:rPr>
                <w:rFonts w:ascii="宋体"/>
                <w:b/>
                <w:color w:val="000000"/>
                <w:sz w:val="20"/>
                <w:szCs w:val="20"/>
              </w:rPr>
            </w:pPr>
            <w:r>
              <w:rPr>
                <w:rFonts w:ascii="宋体"/>
                <w:b/>
                <w:color w:val="000000"/>
                <w:sz w:val="20"/>
                <w:szCs w:val="20"/>
              </w:rPr>
              <w:t>E：29.07.03;29.07.08</w:t>
            </w:r>
          </w:p>
          <w:p>
            <w:pPr>
              <w:spacing w:line="280" w:lineRule="exact"/>
              <w:rPr>
                <w:rFonts w:ascii="宋体"/>
                <w:b/>
                <w:color w:val="000000"/>
                <w:sz w:val="20"/>
                <w:szCs w:val="20"/>
              </w:rPr>
            </w:pPr>
            <w:r>
              <w:rPr>
                <w:rFonts w:ascii="宋体"/>
                <w:b/>
                <w:color w:val="000000"/>
                <w:sz w:val="20"/>
                <w:szCs w:val="20"/>
              </w:rPr>
              <w:t>O：29.07.03;29.07.08</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eastAsia" w:ascii="宋体" w:eastAsia="宋体"/>
          <w:b/>
          <w:color w:val="000000"/>
          <w:sz w:val="20"/>
          <w:szCs w:val="20"/>
          <w:lang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Times New Roman"/>
          <w:szCs w:val="21"/>
          <w:lang w:val="en-US" w:eastAsia="zh-CN"/>
        </w:rPr>
        <w:t>管理层、</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经营部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7"/>
        <w:pBdr>
          <w:bottom w:val="none" w:color="auto" w:sz="0" w:space="0"/>
        </w:pBdr>
        <w:ind w:right="600"/>
        <w:jc w:val="both"/>
        <w:rPr>
          <w:color w:val="000000"/>
          <w:sz w:val="32"/>
          <w:szCs w:val="32"/>
        </w:rPr>
      </w:pPr>
    </w:p>
    <w:p>
      <w:pPr>
        <w:pStyle w:val="7"/>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lang w:eastAsia="zh-CN"/>
              </w:rPr>
              <w:t>许可范围类预包装食品、婴幼儿配方乳粉的销售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b/>
                <w:color w:val="000000"/>
                <w:sz w:val="20"/>
                <w:szCs w:val="20"/>
                <w:lang w:val="en-US"/>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经营部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经营部</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重庆市渝北区龙山街道余松路449号岳阳综合大厦1幢12-3。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经营部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重庆市渝北区龙山街道余松路449号岳阳综合大厦1幢12-3</w:t>
            </w:r>
          </w:p>
          <w:p>
            <w:pPr>
              <w:tabs>
                <w:tab w:val="left" w:pos="360"/>
              </w:tabs>
              <w:ind w:left="357" w:hanging="357"/>
              <w:rPr>
                <w:rFonts w:ascii="宋体"/>
                <w:color w:val="000000"/>
                <w:sz w:val="20"/>
                <w:szCs w:val="20"/>
                <w:highlight w:val="red"/>
              </w:rPr>
            </w:pPr>
            <w:r>
              <w:rPr>
                <w:rFonts w:hint="eastAsia" w:ascii="宋体" w:hAnsi="宋体"/>
                <w:color w:val="000000"/>
                <w:sz w:val="20"/>
                <w:szCs w:val="20"/>
              </w:rPr>
              <w:t>其使用的建筑设施是</w:t>
            </w:r>
            <w:r>
              <w:rPr>
                <w:rFonts w:hint="eastAsia" w:ascii="宋体" w:hAnsi="宋体"/>
                <w:color w:val="000000"/>
                <w:sz w:val="20"/>
                <w:szCs w:val="20"/>
                <w:highlight w:val="none"/>
              </w:rPr>
              <w:t>：</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highlight w:val="non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食品经营许可证（JY5001120217179）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pStyle w:val="3"/>
              <w:keepNext w:val="0"/>
              <w:keepLines w:val="0"/>
              <w:widowControl/>
              <w:suppressLineNumbers w:val="0"/>
              <w:shd w:val="clear" w:color="auto" w:fill="FFFFFF"/>
              <w:ind w:left="0" w:firstLine="0"/>
              <w:jc w:val="both"/>
              <w:rPr>
                <w:rFonts w:ascii="宋体"/>
                <w:color w:val="000000"/>
                <w:spacing w:val="-10"/>
                <w:sz w:val="20"/>
                <w:szCs w:val="20"/>
              </w:rPr>
            </w:pPr>
            <w:bookmarkStart w:id="24" w:name="_GoBack"/>
            <w:bookmarkEnd w:id="24"/>
            <w:r>
              <w:rPr>
                <w:rFonts w:hint="eastAsia" w:ascii="宋体" w:hAnsi="宋体" w:eastAsia="宋体" w:cs="Times New Roman"/>
                <w:b w:val="0"/>
                <w:bCs w:val="0"/>
                <w:color w:val="000000"/>
                <w:kern w:val="2"/>
                <w:sz w:val="20"/>
                <w:szCs w:val="20"/>
                <w:lang w:val="en-US" w:eastAsia="zh-CN" w:bidi="ar-SA"/>
              </w:rPr>
              <w:t>■产品技术标准号：食品安全国家标准 食品生产通用卫生规范GB 14881-2013、运输和贮藏企业要求CCAA 0021-2014 、预包装食品标签通则GB 7718-2011、GB10765—2010 婴儿配方食品、GB10767—2010 较大婴儿和幼儿配方食品、合同协议等。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z w:val="20"/>
                <w:szCs w:val="20"/>
                <w:lang w:eastAsia="zh-CN"/>
              </w:rPr>
              <w:t>，</w:t>
            </w:r>
            <w:r>
              <w:rPr>
                <w:rFonts w:hint="eastAsia" w:ascii="宋体" w:hAnsi="宋体"/>
                <w:color w:val="auto"/>
                <w:sz w:val="20"/>
                <w:szCs w:val="20"/>
                <w:lang w:val="en-US" w:eastAsia="zh-CN"/>
              </w:rPr>
              <w:t>详情见附件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eastAsia="宋体" w:cs="Times New Roman"/>
                <w:szCs w:val="21"/>
                <w:highlight w:val="none"/>
              </w:rPr>
              <w:t>污水排入城镇下水道水质标准（</w:t>
            </w:r>
            <w:r>
              <w:rPr>
                <w:rFonts w:ascii="宋体" w:hAnsi="宋体" w:eastAsia="宋体" w:cs="Times New Roman"/>
                <w:szCs w:val="21"/>
                <w:highlight w:val="none"/>
              </w:rPr>
              <w:t>GB/T 31962-2015</w:t>
            </w:r>
            <w:r>
              <w:rPr>
                <w:rFonts w:hint="eastAsia" w:ascii="宋体" w:hAnsi="宋体" w:eastAsia="宋体" w:cs="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highlight w:val="none"/>
              </w:rPr>
            </w:pPr>
            <w:r>
              <w:rPr>
                <w:rFonts w:hint="eastAsia" w:ascii="宋体" w:hAnsi="宋体"/>
                <w:b/>
                <w:color w:val="000000"/>
                <w:spacing w:val="-10"/>
                <w:sz w:val="20"/>
                <w:szCs w:val="20"/>
                <w:highlight w:val="none"/>
              </w:rPr>
              <w:t>过程识别与控制情况（</w:t>
            </w:r>
            <w:r>
              <w:rPr>
                <w:rFonts w:ascii="宋体" w:hAnsi="宋体"/>
                <w:b/>
                <w:color w:val="000000"/>
                <w:spacing w:val="-10"/>
                <w:sz w:val="20"/>
                <w:szCs w:val="20"/>
                <w:highlight w:val="none"/>
              </w:rPr>
              <w:t>QMS</w:t>
            </w:r>
            <w:r>
              <w:rPr>
                <w:rFonts w:hint="eastAsia" w:ascii="宋体" w:hAnsi="宋体"/>
                <w:b/>
                <w:color w:val="000000"/>
                <w:spacing w:val="-10"/>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spacing w:line="360" w:lineRule="auto"/>
              <w:rPr>
                <w:rFonts w:ascii="宋体"/>
                <w:color w:val="000000" w:themeColor="text1"/>
                <w:sz w:val="20"/>
                <w:szCs w:val="20"/>
                <w:highlight w:val="none"/>
              </w:rPr>
            </w:pPr>
            <w:r>
              <w:rPr>
                <w:rFonts w:hint="eastAsia" w:ascii="宋体" w:hAnsi="宋体" w:eastAsia="宋体" w:cs="Times New Roman"/>
                <w:color w:val="000000" w:themeColor="text1"/>
                <w:sz w:val="20"/>
                <w:szCs w:val="20"/>
                <w:highlight w:val="none"/>
              </w:rPr>
              <w:t>销售流程:顾客需求—签订合同—采购—验收—配送—交付—顾客验收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themeColor="text1"/>
                <w:sz w:val="20"/>
                <w:szCs w:val="20"/>
                <w:highlight w:val="none"/>
                <w:lang w:eastAsia="zh-CN"/>
              </w:rPr>
            </w:pPr>
            <w:r>
              <w:rPr>
                <w:rFonts w:ascii="宋体" w:hAnsi="宋体" w:cs="宋体"/>
                <w:color w:val="000000" w:themeColor="text1"/>
                <w:sz w:val="21"/>
                <w:szCs w:val="21"/>
              </w:rPr>
              <w:t>关键</w:t>
            </w:r>
            <w:r>
              <w:rPr>
                <w:rFonts w:hint="eastAsia" w:ascii="宋体" w:hAnsi="宋体" w:cs="宋体"/>
                <w:color w:val="000000" w:themeColor="text1"/>
                <w:sz w:val="21"/>
                <w:szCs w:val="21"/>
                <w:lang w:val="en-US" w:eastAsia="zh-CN"/>
              </w:rPr>
              <w:t>/</w:t>
            </w:r>
            <w:r>
              <w:rPr>
                <w:rFonts w:ascii="宋体" w:hAnsi="宋体" w:cs="宋体"/>
                <w:color w:val="000000" w:themeColor="text1"/>
                <w:sz w:val="21"/>
                <w:szCs w:val="21"/>
              </w:rPr>
              <w:t>需确认过程：销售</w:t>
            </w:r>
            <w:r>
              <w:rPr>
                <w:rFonts w:hint="eastAsia" w:ascii="宋体" w:hAnsi="宋体"/>
                <w:color w:val="000000" w:themeColor="text1"/>
                <w:sz w:val="20"/>
                <w:szCs w:val="20"/>
                <w:lang w:val="en-US" w:eastAsia="zh-CN"/>
              </w:rPr>
              <w:t>过程</w:t>
            </w:r>
            <w:r>
              <w:rPr>
                <w:rFonts w:hint="eastAsia" w:ascii="宋体" w:hAnsi="宋体" w:cs="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w:t>
            </w:r>
            <w:r>
              <w:rPr>
                <w:rFonts w:hint="eastAsia" w:ascii="宋体" w:hAnsi="宋体" w:eastAsia="宋体" w:cs="Times New Roman"/>
                <w:color w:val="000000"/>
                <w:sz w:val="20"/>
                <w:szCs w:val="20"/>
                <w:highlight w:val="none"/>
              </w:rPr>
              <w:t>制文件有：物资采购控制程序、销售控制程序、与顾客有关的过程管理程序、顾客满意控制程序等。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themeColor="text1"/>
                <w:sz w:val="20"/>
                <w:szCs w:val="20"/>
              </w:rPr>
              <w:t>：</w:t>
            </w:r>
            <w:r>
              <w:rPr>
                <w:rFonts w:hint="eastAsia" w:ascii="宋体" w:hAnsi="宋体"/>
                <w:color w:val="000000" w:themeColor="text1"/>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pacing w:val="-10"/>
                <w:sz w:val="20"/>
                <w:szCs w:val="20"/>
              </w:rPr>
              <w:t>主要设备：</w:t>
            </w:r>
            <w:r>
              <w:rPr>
                <w:rFonts w:hint="eastAsia"/>
                <w:color w:val="auto"/>
                <w:kern w:val="2"/>
                <w:sz w:val="21"/>
                <w:szCs w:val="21"/>
              </w:rPr>
              <w:t>小汽车、冷链车（租用）、</w:t>
            </w:r>
            <w:r>
              <w:rPr>
                <w:color w:val="auto"/>
                <w:kern w:val="2"/>
                <w:sz w:val="21"/>
                <w:szCs w:val="21"/>
              </w:rPr>
              <w:t>电脑及办公设备等</w:t>
            </w:r>
            <w:r>
              <w:rPr>
                <w:rFonts w:hint="eastAsia"/>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auto"/>
                <w:sz w:val="20"/>
                <w:szCs w:val="20"/>
              </w:rPr>
              <w:t>）：</w:t>
            </w:r>
            <w:r>
              <w:rPr>
                <w:rFonts w:hint="eastAsia"/>
                <w:color w:val="auto"/>
                <w:szCs w:val="21"/>
                <w:highlight w:val="none"/>
              </w:rPr>
              <w:t>无，采取以供方出具的产品检测报告为验收依据，进行核验，最终产品质量由顾客确认，暂未配置检测设备</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szCs w:val="21"/>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针对重要环境因素建立了运行控制程序：有（1）环境因素识别与评价控制程序；（2）运行控制程序。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themeColor="text1"/>
                <w:sz w:val="20"/>
                <w:szCs w:val="20"/>
              </w:rPr>
            </w:pPr>
            <w:r>
              <w:rPr>
                <w:rFonts w:hint="eastAsia" w:ascii="宋体"/>
                <w:color w:val="000000" w:themeColor="text1"/>
                <w:sz w:val="20"/>
                <w:szCs w:val="20"/>
              </w:rPr>
              <w:t>应急预案有：触电应急预案、火灾应急预案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不可接受风险控制情况（</w:t>
            </w:r>
            <w:r>
              <w:rPr>
                <w:rFonts w:ascii="宋体"/>
                <w:color w:val="000000" w:themeColor="text1"/>
                <w:sz w:val="20"/>
                <w:szCs w:val="20"/>
              </w:rPr>
              <w:t>OHS</w:t>
            </w:r>
            <w:r>
              <w:rPr>
                <w:rFonts w:hint="eastAsia" w:ascii="宋体"/>
                <w:color w:val="000000" w:themeColor="text1"/>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themeColor="text1"/>
                <w:sz w:val="20"/>
                <w:szCs w:val="20"/>
              </w:rPr>
            </w:pPr>
            <w:r>
              <w:rPr>
                <w:rFonts w:hint="eastAsia" w:ascii="宋体"/>
                <w:color w:val="000000" w:themeColor="text1"/>
                <w:sz w:val="20"/>
                <w:szCs w:val="20"/>
              </w:rPr>
              <w:t>不可接受风险有：</w:t>
            </w:r>
            <w:r>
              <w:rPr>
                <w:rFonts w:hint="eastAsia" w:ascii="宋体" w:hAnsi="宋体"/>
                <w:color w:val="000000" w:themeColor="text1"/>
                <w:szCs w:val="21"/>
                <w:highlight w:val="none"/>
              </w:rPr>
              <w:t>火灾、触电</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意外交通伤害</w:t>
            </w:r>
            <w:r>
              <w:rPr>
                <w:rFonts w:hint="eastAsia" w:ascii="宋体" w:hAnsi="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有（1）危险源辨识、风险评价控制程序；</w:t>
            </w:r>
            <w:r>
              <w:rPr>
                <w:rFonts w:hint="eastAsia" w:ascii="宋体"/>
                <w:color w:val="000000"/>
                <w:sz w:val="20"/>
                <w:szCs w:val="20"/>
              </w:rPr>
              <w:t>（2）运行控制程序。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asci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经营部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lang w:eastAsia="zh-CN"/>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lang w:eastAsia="zh-CN"/>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ind w:left="-540" w:leftChars="-257"/>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ind w:left="-540" w:leftChars="-257"/>
              <w:rPr>
                <w:rFonts w:ascii="宋体"/>
                <w:b/>
                <w:color w:val="000000"/>
                <w:sz w:val="20"/>
                <w:szCs w:val="20"/>
              </w:rPr>
            </w:pPr>
            <w:r>
              <w:rPr>
                <w:rFonts w:hint="eastAsia"/>
                <w:szCs w:val="21"/>
              </w:rPr>
              <w:t>建立有《内</w:t>
            </w:r>
            <w:r>
              <w:rPr>
                <w:rFonts w:hint="eastAsia" w:ascii="Times New Roman" w:hAnsi="Times New Roman" w:eastAsia="宋体" w:cs="Times New Roman"/>
                <w:szCs w:val="21"/>
              </w:rPr>
              <w:t>部审核控制程序》，于 2020年</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月16-17日进行了内部审核。内部审核组由：组长：谢积平    组员：黄伦欣组成。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2、审核准则：a.Q.GB/T 19001-2016idtISO 9001:2015,E：GB/T 24001-2016idtISO 14001:2015,O：ISO 45001：2018标准； b</w:t>
            </w:r>
            <w:r>
              <w:rPr>
                <w:rFonts w:hint="eastAsia"/>
                <w:szCs w:val="21"/>
                <w:lang w:val="en-US" w:eastAsia="zh-CN"/>
              </w:rPr>
              <w:t>.</w:t>
            </w:r>
            <w:r>
              <w:rPr>
                <w:rFonts w:hint="eastAsia"/>
                <w:szCs w:val="21"/>
              </w:rPr>
              <w:t>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建立有《管理评审控制程序》，于</w:t>
            </w:r>
            <w:r>
              <w:rPr>
                <w:rFonts w:hint="eastAsia" w:ascii="Times New Roman" w:hAnsi="Times New Roman" w:eastAsia="宋体" w:cs="Times New Roman"/>
                <w:szCs w:val="21"/>
              </w:rPr>
              <w:t>2020年</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月25日就</w:t>
            </w:r>
            <w:r>
              <w:rPr>
                <w:rFonts w:hint="eastAsia"/>
                <w:szCs w:val="21"/>
              </w:rPr>
              <w:t>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rPr>
              <w:t>做好准备。</w:t>
            </w:r>
          </w:p>
        </w:tc>
      </w:tr>
    </w:tbl>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hint="eastAsia" w:ascii="宋体" w:hAnsi="宋体"/>
          <w:b/>
          <w:color w:val="000000"/>
          <w:sz w:val="26"/>
          <w:szCs w:val="26"/>
        </w:rPr>
      </w:pPr>
    </w:p>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szCs w:val="21"/>
          <w:u w:val="single"/>
        </w:rPr>
      </w:pPr>
      <w:r>
        <w:rPr>
          <w:rFonts w:ascii="宋体" w:hAnsi="宋体"/>
          <w:b/>
          <w:color w:val="000000"/>
          <w:sz w:val="20"/>
          <w:szCs w:val="20"/>
          <w:u w:val="single"/>
        </w:rPr>
        <w:t>QMS:</w:t>
      </w:r>
      <w:r>
        <w:rPr>
          <w:rFonts w:hint="eastAsia" w:ascii="宋体" w:hAnsi="宋体"/>
          <w:szCs w:val="21"/>
          <w:u w:val="single"/>
        </w:rPr>
        <w:t>许可范围类预包装食品、婴幼儿配方乳粉的销售</w:t>
      </w:r>
    </w:p>
    <w:p>
      <w:pPr>
        <w:spacing w:line="300" w:lineRule="auto"/>
        <w:ind w:firstLine="201" w:firstLineChars="100"/>
        <w:rPr>
          <w:rFonts w:hint="eastAsia" w:ascii="宋体" w:hAnsi="宋体"/>
          <w:szCs w:val="21"/>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hint="eastAsia" w:ascii="宋体" w:hAnsi="宋体"/>
          <w:szCs w:val="21"/>
          <w:u w:val="single"/>
        </w:rPr>
        <w:t>许可范围类预包装食品、婴幼儿配方乳粉的销售所涉及场所的相关环境管理活动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hint="eastAsia" w:ascii="宋体" w:hAnsi="宋体"/>
          <w:szCs w:val="21"/>
          <w:u w:val="single"/>
        </w:rPr>
        <w:t>许可范围类预包装食品、婴幼儿配方乳粉的销售所涉及场所的相关职业健康安全管理活动</w:t>
      </w:r>
    </w:p>
    <w:p>
      <w:pPr>
        <w:spacing w:before="156" w:beforeLines="50" w:after="62" w:afterLines="20" w:line="360" w:lineRule="exact"/>
        <w:ind w:firstLine="210" w:firstLineChars="100"/>
        <w:rPr>
          <w:rFonts w:ascii="宋体"/>
          <w:b/>
          <w:bCs/>
          <w:color w:val="000000"/>
          <w:sz w:val="26"/>
          <w:szCs w:val="26"/>
        </w:rPr>
      </w:pPr>
      <w:r>
        <w:rPr>
          <w:rFonts w:ascii="宋体" w:hAnsi="宋体"/>
        </w:rPr>
        <w:drawing>
          <wp:anchor distT="0" distB="0" distL="114300" distR="114300" simplePos="0" relativeHeight="251659264" behindDoc="0" locked="0" layoutInCell="1" allowOverlap="1">
            <wp:simplePos x="0" y="0"/>
            <wp:positionH relativeFrom="column">
              <wp:posOffset>1815465</wp:posOffset>
            </wp:positionH>
            <wp:positionV relativeFrom="paragraph">
              <wp:posOffset>365125</wp:posOffset>
            </wp:positionV>
            <wp:extent cx="572770" cy="356870"/>
            <wp:effectExtent l="0" t="0" r="6350" b="8890"/>
            <wp:wrapNone/>
            <wp:docPr id="1"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新文档 2020-01-09 10.59.53_副本.jpg"/>
                    <pic:cNvPicPr>
                      <a:picLocks noChangeAspect="1"/>
                    </pic:cNvPicPr>
                  </pic:nvPicPr>
                  <pic:blipFill>
                    <a:blip r:embed="rId6"/>
                    <a:stretch>
                      <a:fillRect/>
                    </a:stretch>
                  </pic:blipFill>
                  <pic:spPr>
                    <a:xfrm>
                      <a:off x="0" y="0"/>
                      <a:ext cx="572770" cy="35687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960" w:firstLineChars="400"/>
        <w:rPr>
          <w:rFonts w:ascii="宋体"/>
          <w:b/>
          <w:bCs/>
          <w:color w:val="000000"/>
          <w:sz w:val="26"/>
          <w:szCs w:val="26"/>
        </w:rPr>
      </w:pPr>
      <w:r>
        <w:rPr>
          <w:sz w:val="24"/>
        </w:rPr>
        <w:drawing>
          <wp:anchor distT="0" distB="0" distL="114300" distR="114300" simplePos="0" relativeHeight="251697152" behindDoc="0" locked="0" layoutInCell="1" allowOverlap="1">
            <wp:simplePos x="0" y="0"/>
            <wp:positionH relativeFrom="column">
              <wp:posOffset>2338705</wp:posOffset>
            </wp:positionH>
            <wp:positionV relativeFrom="paragraph">
              <wp:posOffset>148590</wp:posOffset>
            </wp:positionV>
            <wp:extent cx="590550" cy="426720"/>
            <wp:effectExtent l="0" t="0" r="3810" b="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r>
        <w:rPr>
          <w:rFonts w:hint="eastAsia"/>
          <w:b/>
          <w:sz w:val="22"/>
          <w:szCs w:val="22"/>
        </w:rPr>
        <w:drawing>
          <wp:anchor distT="0" distB="0" distL="114300" distR="114300" simplePos="0" relativeHeight="251699200" behindDoc="0" locked="0" layoutInCell="1" allowOverlap="1">
            <wp:simplePos x="0" y="0"/>
            <wp:positionH relativeFrom="column">
              <wp:posOffset>1862455</wp:posOffset>
            </wp:positionH>
            <wp:positionV relativeFrom="paragraph">
              <wp:posOffset>193675</wp:posOffset>
            </wp:positionV>
            <wp:extent cx="422910" cy="320040"/>
            <wp:effectExtent l="0" t="0" r="3810" b="0"/>
            <wp:wrapNone/>
            <wp:docPr id="3"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签名.jpg"/>
                    <pic:cNvPicPr>
                      <a:picLocks noChangeAspect="1"/>
                    </pic:cNvPicPr>
                  </pic:nvPicPr>
                  <pic:blipFill>
                    <a:blip r:embed="rId8"/>
                    <a:stretch>
                      <a:fillRect/>
                    </a:stretch>
                  </pic:blipFill>
                  <pic:spPr>
                    <a:xfrm>
                      <a:off x="0" y="0"/>
                      <a:ext cx="422910" cy="320040"/>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2021年01月30日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重庆今合商贸有限公司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pStyle w:val="2"/>
            </w:pPr>
            <w:r>
              <w:rPr>
                <w:rFonts w:ascii="宋体" w:hAnsi="宋体"/>
              </w:rPr>
              <w:drawing>
                <wp:anchor distT="0" distB="0" distL="114300" distR="114300" simplePos="0" relativeHeight="251737088" behindDoc="0" locked="0" layoutInCell="1" allowOverlap="1">
                  <wp:simplePos x="0" y="0"/>
                  <wp:positionH relativeFrom="column">
                    <wp:posOffset>549910</wp:posOffset>
                  </wp:positionH>
                  <wp:positionV relativeFrom="paragraph">
                    <wp:posOffset>131445</wp:posOffset>
                  </wp:positionV>
                  <wp:extent cx="560705" cy="349250"/>
                  <wp:effectExtent l="0" t="0" r="3175" b="1270"/>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pic:cNvPicPr>
                        </pic:nvPicPr>
                        <pic:blipFill>
                          <a:blip r:embed="rId6"/>
                          <a:stretch>
                            <a:fillRect/>
                          </a:stretch>
                        </pic:blipFill>
                        <pic:spPr>
                          <a:xfrm>
                            <a:off x="0" y="0"/>
                            <a:ext cx="560705" cy="34925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color w:val="000000"/>
                <w:szCs w:val="21"/>
              </w:rPr>
              <w:t>2021年01月30日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ascii="宋体" w:hAnsi="宋体"/>
              </w:rPr>
              <w:drawing>
                <wp:anchor distT="0" distB="0" distL="114300" distR="114300" simplePos="0" relativeHeight="251774976" behindDoc="1" locked="0" layoutInCell="1" allowOverlap="1">
                  <wp:simplePos x="0" y="0"/>
                  <wp:positionH relativeFrom="column">
                    <wp:posOffset>633730</wp:posOffset>
                  </wp:positionH>
                  <wp:positionV relativeFrom="paragraph">
                    <wp:posOffset>75565</wp:posOffset>
                  </wp:positionV>
                  <wp:extent cx="605790" cy="377190"/>
                  <wp:effectExtent l="0" t="0" r="3810" b="381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pic:cNvPicPr>
                        </pic:nvPicPr>
                        <pic:blipFill>
                          <a:blip r:embed="rId6"/>
                          <a:stretch>
                            <a:fillRect/>
                          </a:stretch>
                        </pic:blipFill>
                        <pic:spPr>
                          <a:xfrm>
                            <a:off x="0" y="0"/>
                            <a:ext cx="605790" cy="37719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1B6CA1"/>
    <w:rsid w:val="1562749F"/>
    <w:rsid w:val="235567BC"/>
    <w:rsid w:val="68D253E7"/>
    <w:rsid w:val="6DB54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Normal Indent"/>
    <w:basedOn w:val="1"/>
    <w:qFormat/>
    <w:uiPriority w:val="0"/>
    <w:pPr>
      <w:ind w:firstLine="420"/>
    </w:pPr>
    <w:rPr>
      <w:szCs w:val="20"/>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2021-02-01T04:53:49Z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