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sz w:val="21"/>
          <w:szCs w:val="21"/>
        </w:rPr>
        <w:t>0070-2021-Q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任丘市红河邮电器材有限公司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59"/>
        <w:gridCol w:w="446"/>
        <w:gridCol w:w="998"/>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13"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998"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w:t>
            </w:r>
            <w:r>
              <w:rPr>
                <w:rFonts w:hint="eastAsia"/>
                <w:b/>
                <w:color w:val="000000"/>
                <w:sz w:val="20"/>
                <w:szCs w:val="20"/>
              </w:rPr>
              <w:t>5</w:t>
            </w:r>
            <w:r>
              <w:rPr>
                <w:rFonts w:hint="eastAsia"/>
                <w:b/>
                <w:color w:val="000000"/>
                <w:sz w:val="20"/>
                <w:szCs w:val="20"/>
                <w:lang w:val="en-US" w:eastAsia="zh-CN"/>
              </w:rPr>
              <w:t>3516258</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05" w:type="dxa"/>
            <w:gridSpan w:val="2"/>
            <w:vAlign w:val="center"/>
          </w:tcPr>
          <w:p>
            <w:pPr>
              <w:rPr>
                <w:b/>
                <w:color w:val="000000"/>
                <w:sz w:val="20"/>
                <w:szCs w:val="20"/>
              </w:rPr>
            </w:pPr>
            <w:r>
              <w:rPr>
                <w:rFonts w:hint="eastAsia"/>
                <w:b/>
                <w:color w:val="000000"/>
                <w:sz w:val="20"/>
                <w:szCs w:val="20"/>
              </w:rPr>
              <w:t>邮箱</w:t>
            </w:r>
          </w:p>
        </w:tc>
        <w:tc>
          <w:tcPr>
            <w:tcW w:w="2468" w:type="dxa"/>
            <w:gridSpan w:val="2"/>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667" w:type="dxa"/>
            <w:gridSpan w:val="3"/>
            <w:vAlign w:val="center"/>
          </w:tcPr>
          <w:p>
            <w:pPr>
              <w:spacing w:line="240" w:lineRule="exact"/>
              <w:jc w:val="center"/>
              <w:rPr>
                <w:b/>
                <w:color w:val="000000"/>
                <w:sz w:val="20"/>
                <w:szCs w:val="20"/>
              </w:rPr>
            </w:pPr>
            <w:r>
              <w:rPr>
                <w:rFonts w:hint="eastAsia"/>
                <w:sz w:val="18"/>
                <w:szCs w:val="18"/>
              </w:rPr>
              <w:t>注册资格</w:t>
            </w:r>
          </w:p>
        </w:tc>
        <w:tc>
          <w:tcPr>
            <w:tcW w:w="2914" w:type="dxa"/>
            <w:gridSpan w:val="3"/>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667" w:type="dxa"/>
            <w:gridSpan w:val="3"/>
            <w:vAlign w:val="center"/>
          </w:tcPr>
          <w:p>
            <w:pPr>
              <w:spacing w:line="240" w:lineRule="exact"/>
              <w:jc w:val="center"/>
              <w:rPr>
                <w:b/>
                <w:color w:val="000000"/>
                <w:sz w:val="20"/>
                <w:szCs w:val="20"/>
              </w:rPr>
            </w:pPr>
            <w:r>
              <w:rPr>
                <w:sz w:val="22"/>
                <w:szCs w:val="22"/>
                <w:highlight w:val="none"/>
              </w:rPr>
              <w:t>2019-N1QMS-3022240</w:t>
            </w:r>
          </w:p>
        </w:tc>
        <w:tc>
          <w:tcPr>
            <w:tcW w:w="2914" w:type="dxa"/>
            <w:gridSpan w:val="3"/>
            <w:vAlign w:val="center"/>
          </w:tcPr>
          <w:p>
            <w:pPr>
              <w:spacing w:line="240" w:lineRule="exact"/>
              <w:jc w:val="center"/>
              <w:rPr>
                <w:rFonts w:hint="eastAsia" w:eastAsia="宋体"/>
                <w:b/>
                <w:color w:val="000000"/>
                <w:sz w:val="20"/>
                <w:szCs w:val="20"/>
                <w:lang w:eastAsia="zh-CN"/>
              </w:rPr>
            </w:pPr>
            <w:r>
              <w:rPr>
                <w:rFonts w:hint="eastAsia"/>
                <w:b/>
                <w:szCs w:val="21"/>
                <w:lang w:eastAsia="zh-CN"/>
              </w:rPr>
              <w:t>14.02.01,14.02.03,17.12.01,17.12.03,17.12.05,19.11.02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67" w:type="dxa"/>
            <w:gridSpan w:val="3"/>
            <w:vAlign w:val="center"/>
          </w:tcPr>
          <w:p>
            <w:pPr>
              <w:rPr>
                <w:b/>
                <w:color w:val="000000"/>
                <w:sz w:val="20"/>
                <w:szCs w:val="20"/>
              </w:rPr>
            </w:pPr>
            <w:r>
              <w:rPr>
                <w:rFonts w:hint="eastAsia"/>
                <w:b/>
                <w:color w:val="000000"/>
                <w:sz w:val="20"/>
                <w:szCs w:val="20"/>
              </w:rPr>
              <w:t>工作单位</w:t>
            </w:r>
          </w:p>
        </w:tc>
        <w:tc>
          <w:tcPr>
            <w:tcW w:w="2914"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667" w:type="dxa"/>
            <w:gridSpan w:val="3"/>
            <w:vAlign w:val="center"/>
          </w:tcPr>
          <w:p>
            <w:pPr>
              <w:rPr>
                <w:b/>
                <w:color w:val="000000"/>
              </w:rPr>
            </w:pPr>
          </w:p>
        </w:tc>
        <w:tc>
          <w:tcPr>
            <w:tcW w:w="2914" w:type="dxa"/>
            <w:gridSpan w:val="3"/>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1" w:name="认证领域"/>
      <w:r>
        <w:rPr>
          <w:rFonts w:hint="eastAsia" w:ascii="宋体" w:hAnsi="宋体"/>
          <w:b/>
          <w:color w:val="000000"/>
          <w:sz w:val="20"/>
          <w:szCs w:val="20"/>
        </w:rPr>
        <w:t>质量管理体系,环境管理体系,职业健康安全管理体系</w:t>
      </w:r>
      <w:bookmarkEnd w:id="1"/>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w:t>
      </w:r>
      <w:bookmarkStart w:id="6" w:name="_GoBack"/>
      <w:bookmarkEnd w:id="6"/>
      <w:r>
        <w:rPr>
          <w:rFonts w:hint="eastAsia" w:ascii="宋体" w:hAnsi="宋体"/>
          <w:b/>
          <w:color w:val="000000"/>
          <w:spacing w:val="-10"/>
          <w:sz w:val="20"/>
          <w:szCs w:val="20"/>
        </w:rPr>
        <w:t>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67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sz w:val="21"/>
                <w:szCs w:val="21"/>
                <w:lang w:eastAsia="zh-CN"/>
              </w:rPr>
            </w:pPr>
            <w:r>
              <w:rPr>
                <w:rFonts w:hint="eastAsia"/>
                <w:sz w:val="21"/>
                <w:szCs w:val="21"/>
                <w:lang w:eastAsia="zh-CN"/>
              </w:rPr>
              <w:t>任丘市红河邮电器材有限公司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eastAsia="宋体"/>
                <w:sz w:val="21"/>
                <w:szCs w:val="21"/>
                <w:lang w:eastAsia="zh-CN"/>
              </w:rPr>
            </w:pPr>
            <w:r>
              <w:rPr>
                <w:rFonts w:hint="eastAsia"/>
                <w:sz w:val="21"/>
                <w:szCs w:val="21"/>
                <w:lang w:eastAsia="zh-CN"/>
              </w:rPr>
              <w:t>任丘市麻家坞镇麻家坞工业区</w:t>
            </w:r>
          </w:p>
        </w:tc>
        <w:tc>
          <w:tcPr>
            <w:tcW w:w="677" w:type="dxa"/>
            <w:vMerge w:val="restart"/>
            <w:vAlign w:val="center"/>
          </w:tcPr>
          <w:p>
            <w:pPr>
              <w:spacing w:line="280" w:lineRule="exact"/>
              <w:jc w:val="both"/>
              <w:rPr>
                <w:sz w:val="21"/>
                <w:szCs w:val="21"/>
              </w:rPr>
            </w:pPr>
            <w:r>
              <w:rPr>
                <w:rFonts w:hint="eastAsia"/>
                <w:sz w:val="21"/>
                <w:szCs w:val="21"/>
              </w:rPr>
              <w:t>邮编</w:t>
            </w:r>
          </w:p>
        </w:tc>
        <w:tc>
          <w:tcPr>
            <w:tcW w:w="2123" w:type="dxa"/>
            <w:vAlign w:val="center"/>
          </w:tcPr>
          <w:p>
            <w:pPr>
              <w:spacing w:line="280" w:lineRule="exact"/>
              <w:jc w:val="both"/>
              <w:rPr>
                <w:rFonts w:hint="eastAsia" w:eastAsia="宋体"/>
                <w:sz w:val="21"/>
                <w:szCs w:val="21"/>
                <w:lang w:eastAsia="zh-CN"/>
              </w:rPr>
            </w:pPr>
            <w:r>
              <w:rPr>
                <w:rFonts w:hint="eastAsia"/>
                <w:b w:val="0"/>
                <w:bCs w:val="0"/>
                <w:sz w:val="21"/>
                <w:szCs w:val="21"/>
                <w:lang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hint="eastAsia"/>
                <w:sz w:val="21"/>
                <w:szCs w:val="21"/>
                <w:lang w:eastAsia="zh-CN"/>
              </w:rPr>
            </w:pPr>
            <w:r>
              <w:rPr>
                <w:rFonts w:hint="eastAsia"/>
                <w:sz w:val="21"/>
                <w:szCs w:val="21"/>
                <w:lang w:eastAsia="zh-CN"/>
              </w:rPr>
              <w:t>任丘市麻家坞镇麻家坞工业区</w:t>
            </w:r>
          </w:p>
        </w:tc>
        <w:tc>
          <w:tcPr>
            <w:tcW w:w="677" w:type="dxa"/>
            <w:vMerge w:val="continue"/>
            <w:vAlign w:val="center"/>
          </w:tcPr>
          <w:p>
            <w:pPr>
              <w:spacing w:line="280" w:lineRule="exact"/>
              <w:jc w:val="both"/>
              <w:rPr>
                <w:sz w:val="21"/>
                <w:szCs w:val="21"/>
              </w:rPr>
            </w:pPr>
          </w:p>
        </w:tc>
        <w:tc>
          <w:tcPr>
            <w:tcW w:w="2123" w:type="dxa"/>
            <w:vAlign w:val="center"/>
          </w:tcPr>
          <w:p>
            <w:pPr>
              <w:spacing w:line="280" w:lineRule="exact"/>
              <w:jc w:val="both"/>
              <w:rPr>
                <w:rFonts w:hint="eastAsia" w:eastAsia="宋体"/>
                <w:sz w:val="21"/>
                <w:szCs w:val="21"/>
                <w:lang w:eastAsia="zh-CN"/>
              </w:rPr>
            </w:pPr>
            <w:r>
              <w:rPr>
                <w:rFonts w:hint="eastAsia"/>
                <w:b w:val="0"/>
                <w:bCs w:val="0"/>
                <w:sz w:val="21"/>
                <w:szCs w:val="21"/>
                <w:lang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hint="default" w:eastAsia="宋体"/>
                <w:sz w:val="21"/>
                <w:szCs w:val="21"/>
                <w:lang w:val="en-US" w:eastAsia="zh-CN"/>
              </w:rPr>
            </w:pPr>
            <w:bookmarkStart w:id="2" w:name="联系人"/>
            <w:r>
              <w:rPr>
                <w:sz w:val="21"/>
                <w:szCs w:val="21"/>
              </w:rPr>
              <w:t>马秋花</w:t>
            </w:r>
            <w:bookmarkEnd w:id="2"/>
          </w:p>
        </w:tc>
        <w:tc>
          <w:tcPr>
            <w:tcW w:w="1463" w:type="dxa"/>
            <w:vAlign w:val="center"/>
          </w:tcPr>
          <w:p>
            <w:pPr>
              <w:spacing w:line="280" w:lineRule="exact"/>
              <w:jc w:val="both"/>
              <w:rPr>
                <w:sz w:val="21"/>
                <w:szCs w:val="21"/>
              </w:rPr>
            </w:pPr>
            <w:r>
              <w:rPr>
                <w:rFonts w:hint="eastAsia"/>
                <w:sz w:val="21"/>
                <w:szCs w:val="21"/>
              </w:rPr>
              <w:t>电话</w:t>
            </w:r>
          </w:p>
        </w:tc>
        <w:tc>
          <w:tcPr>
            <w:tcW w:w="2180" w:type="dxa"/>
            <w:vAlign w:val="center"/>
          </w:tcPr>
          <w:p>
            <w:pPr>
              <w:spacing w:line="280" w:lineRule="exact"/>
              <w:jc w:val="both"/>
              <w:rPr>
                <w:sz w:val="21"/>
                <w:szCs w:val="21"/>
              </w:rPr>
            </w:pPr>
            <w:bookmarkStart w:id="3" w:name="联系人手机"/>
            <w:r>
              <w:rPr>
                <w:sz w:val="21"/>
                <w:szCs w:val="21"/>
              </w:rPr>
              <w:t>13333270991</w:t>
            </w:r>
            <w:bookmarkEnd w:id="3"/>
          </w:p>
        </w:tc>
        <w:tc>
          <w:tcPr>
            <w:tcW w:w="677" w:type="dxa"/>
            <w:vAlign w:val="center"/>
          </w:tcPr>
          <w:p>
            <w:pPr>
              <w:spacing w:line="280" w:lineRule="exact"/>
              <w:jc w:val="both"/>
              <w:rPr>
                <w:sz w:val="21"/>
                <w:szCs w:val="21"/>
              </w:rPr>
            </w:pPr>
            <w:r>
              <w:rPr>
                <w:rFonts w:hint="eastAsia"/>
                <w:sz w:val="21"/>
                <w:szCs w:val="21"/>
              </w:rPr>
              <w:t>传真</w:t>
            </w:r>
          </w:p>
        </w:tc>
        <w:tc>
          <w:tcPr>
            <w:tcW w:w="2123" w:type="dxa"/>
            <w:vAlign w:val="center"/>
          </w:tcPr>
          <w:p>
            <w:pPr>
              <w:spacing w:line="280" w:lineRule="exact"/>
              <w:jc w:val="both"/>
              <w:rPr>
                <w:sz w:val="21"/>
                <w:szCs w:val="21"/>
              </w:rPr>
            </w:pPr>
            <w:bookmarkStart w:id="4" w:name="联系人传真Add1"/>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spacing w:line="280" w:lineRule="exact"/>
              <w:jc w:val="both"/>
              <w:rPr>
                <w:sz w:val="21"/>
                <w:szCs w:val="21"/>
              </w:rPr>
            </w:pPr>
            <w:r>
              <w:rPr>
                <w:sz w:val="21"/>
                <w:szCs w:val="21"/>
              </w:rPr>
              <w:t>郭宁波</w:t>
            </w:r>
          </w:p>
        </w:tc>
        <w:tc>
          <w:tcPr>
            <w:tcW w:w="1463" w:type="dxa"/>
            <w:vAlign w:val="center"/>
          </w:tcPr>
          <w:p>
            <w:pPr>
              <w:spacing w:line="280" w:lineRule="exact"/>
              <w:jc w:val="both"/>
              <w:rPr>
                <w:sz w:val="21"/>
                <w:szCs w:val="21"/>
              </w:rPr>
            </w:pPr>
            <w:r>
              <w:rPr>
                <w:rFonts w:hint="eastAsia"/>
                <w:sz w:val="21"/>
                <w:szCs w:val="21"/>
              </w:rPr>
              <w:t>管理者代表</w:t>
            </w:r>
          </w:p>
        </w:tc>
        <w:tc>
          <w:tcPr>
            <w:tcW w:w="2180" w:type="dxa"/>
            <w:vAlign w:val="center"/>
          </w:tcPr>
          <w:p>
            <w:pPr>
              <w:spacing w:line="280" w:lineRule="exact"/>
              <w:jc w:val="both"/>
              <w:rPr>
                <w:sz w:val="21"/>
                <w:szCs w:val="21"/>
              </w:rPr>
            </w:pPr>
            <w:r>
              <w:rPr>
                <w:sz w:val="21"/>
                <w:szCs w:val="21"/>
              </w:rPr>
              <w:t>郭宁波</w:t>
            </w:r>
          </w:p>
        </w:tc>
        <w:tc>
          <w:tcPr>
            <w:tcW w:w="677" w:type="dxa"/>
            <w:vAlign w:val="center"/>
          </w:tcPr>
          <w:p>
            <w:pPr>
              <w:spacing w:line="280" w:lineRule="exact"/>
              <w:jc w:val="both"/>
              <w:rPr>
                <w:sz w:val="21"/>
                <w:szCs w:val="21"/>
              </w:rPr>
            </w:pPr>
            <w:r>
              <w:rPr>
                <w:rFonts w:hint="eastAsia"/>
                <w:sz w:val="21"/>
                <w:szCs w:val="21"/>
              </w:rPr>
              <w:t>邮箱</w:t>
            </w:r>
          </w:p>
        </w:tc>
        <w:tc>
          <w:tcPr>
            <w:tcW w:w="2123" w:type="dxa"/>
            <w:vAlign w:val="center"/>
          </w:tcPr>
          <w:p>
            <w:pPr>
              <w:spacing w:line="280" w:lineRule="exact"/>
              <w:jc w:val="both"/>
              <w:rPr>
                <w:rFonts w:hint="default" w:eastAsia="宋体"/>
                <w:sz w:val="21"/>
                <w:szCs w:val="21"/>
                <w:lang w:val="en-US" w:eastAsia="zh-CN"/>
              </w:rPr>
            </w:pPr>
            <w:bookmarkStart w:id="5" w:name="联系人邮箱"/>
            <w:r>
              <w:rPr>
                <w:sz w:val="21"/>
                <w:szCs w:val="21"/>
              </w:rPr>
              <w:t>honghegongsi668@163.com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2020年</w:t>
            </w:r>
            <w:r>
              <w:rPr>
                <w:rFonts w:hint="eastAsia" w:cs="Times New Roman"/>
                <w:b w:val="0"/>
                <w:bCs/>
                <w:color w:val="000000"/>
                <w:sz w:val="20"/>
                <w:szCs w:val="20"/>
                <w:lang w:val="en-US" w:eastAsia="zh-CN"/>
              </w:rPr>
              <w:t>7</w:t>
            </w:r>
            <w:r>
              <w:rPr>
                <w:rFonts w:hint="default" w:ascii="Times New Roman" w:hAnsi="Times New Roman" w:cs="Times New Roman"/>
                <w:b w:val="0"/>
                <w:bCs/>
                <w:color w:val="000000"/>
                <w:sz w:val="20"/>
                <w:szCs w:val="20"/>
                <w:lang w:val="en-US"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280" w:lineRule="exact"/>
              <w:rPr>
                <w:rFonts w:hint="eastAsia" w:ascii="Times New Roman" w:hAnsi="Times New Roman" w:eastAsia="宋体" w:cs="Times New Roman"/>
                <w:b w:val="0"/>
                <w:bCs/>
                <w:color w:val="000000"/>
                <w:sz w:val="20"/>
                <w:szCs w:val="20"/>
                <w:lang w:eastAsia="zh-CN"/>
              </w:rPr>
            </w:pPr>
            <w:r>
              <w:rPr>
                <w:rFonts w:hint="eastAsia" w:ascii="宋体" w:hAnsi="宋体"/>
                <w:szCs w:val="21"/>
                <w:lang w:eastAsia="zh-CN"/>
              </w:rPr>
              <w:t>通讯塑料管材、线路铁件、钢绞线、树脂井盖、电话线、机箱机柜的生产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Times New Roman" w:hAnsi="Times New Roman" w:eastAsia="宋体" w:cs="Times New Roman"/>
                <w:b w:val="0"/>
                <w:bCs/>
                <w:color w:val="000000"/>
                <w:sz w:val="20"/>
                <w:szCs w:val="20"/>
                <w:lang w:eastAsia="zh-CN"/>
              </w:rPr>
            </w:pPr>
            <w:r>
              <w:rPr>
                <w:rFonts w:hint="eastAsia"/>
                <w:b/>
                <w:szCs w:val="21"/>
                <w:lang w:eastAsia="zh-CN"/>
              </w:rPr>
              <w:t>14.02.01,14.02.03,17.12.01,17.12.03,17.12.05,19.11.02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总部以外分公司(分场所)名称、地址（可附多场所清单）</w:t>
            </w:r>
          </w:p>
          <w:p>
            <w:pPr>
              <w:widowControl/>
              <w:spacing w:line="280" w:lineRule="exact"/>
              <w:jc w:val="lef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无</w:t>
            </w:r>
          </w:p>
          <w:p>
            <w:pPr>
              <w:spacing w:line="280" w:lineRule="exact"/>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p>
          <w:p>
            <w:pPr>
              <w:spacing w:line="280" w:lineRule="exac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szCs w:val="21"/>
                <w:lang w:eastAsia="zh-CN"/>
              </w:rPr>
              <w:t>通讯塑料管材、线路铁件、钢绞线、树脂井盖、电话线、机箱机柜的生产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任丘市麻家坞镇麻家坞工业区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任丘市麻家坞镇麻家坞工业区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lang w:eastAsia="zh-CN"/>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产品技术标准号：YD/T841-2016</w:t>
            </w:r>
            <w:r>
              <w:rPr>
                <w:rFonts w:hint="eastAsia" w:ascii="宋体" w:hAnsi="宋体"/>
                <w:color w:val="000000"/>
                <w:spacing w:val="-10"/>
                <w:sz w:val="20"/>
                <w:szCs w:val="20"/>
                <w:lang w:eastAsia="zh-CN"/>
              </w:rPr>
              <w:t>、</w:t>
            </w:r>
            <w:r>
              <w:rPr>
                <w:rFonts w:hint="eastAsia" w:ascii="宋体" w:hAnsi="宋体"/>
                <w:color w:val="000000"/>
                <w:spacing w:val="-10"/>
                <w:sz w:val="20"/>
                <w:szCs w:val="20"/>
              </w:rPr>
              <w:t>YD/T1313-2008</w:t>
            </w:r>
            <w:r>
              <w:rPr>
                <w:rFonts w:hint="eastAsia" w:ascii="宋体" w:hAnsi="宋体"/>
                <w:color w:val="000000"/>
                <w:spacing w:val="-10"/>
                <w:sz w:val="20"/>
                <w:szCs w:val="20"/>
                <w:lang w:eastAsia="zh-CN"/>
              </w:rPr>
              <w:t>、</w:t>
            </w:r>
            <w:r>
              <w:rPr>
                <w:rFonts w:hint="eastAsia" w:ascii="宋体" w:hAnsi="宋体"/>
                <w:color w:val="000000"/>
                <w:spacing w:val="-10"/>
                <w:sz w:val="20"/>
                <w:szCs w:val="20"/>
              </w:rPr>
              <w:t>GB/T23858-2009</w:t>
            </w:r>
            <w:r>
              <w:rPr>
                <w:rFonts w:hint="eastAsia" w:ascii="宋体" w:hAnsi="宋体"/>
                <w:color w:val="000000"/>
                <w:spacing w:val="-10"/>
                <w:sz w:val="20"/>
                <w:szCs w:val="20"/>
                <w:lang w:eastAsia="zh-CN"/>
              </w:rPr>
              <w:t>、</w:t>
            </w:r>
            <w:r>
              <w:rPr>
                <w:rFonts w:hint="eastAsia" w:ascii="宋体" w:hAnsi="宋体"/>
                <w:color w:val="000000"/>
                <w:spacing w:val="-10"/>
                <w:sz w:val="20"/>
                <w:szCs w:val="20"/>
              </w:rPr>
              <w:t>YD/T206.27-1997、YD/T206.7-1997、YD/T206.21-1997</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宋体" w:hAnsi="宋体"/>
                <w:color w:val="auto"/>
                <w:szCs w:val="21"/>
              </w:rPr>
              <w:t>机箱机柜</w:t>
            </w:r>
            <w:r>
              <w:rPr>
                <w:rFonts w:hint="default" w:eastAsia="宋体"/>
                <w:lang w:val="en-US" w:eastAsia="zh-CN"/>
              </w:rPr>
              <w:t>：剪板—冲压—折边—焊接—表面处理（外包）—组装；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宋体" w:hAnsi="宋体"/>
                <w:color w:val="auto"/>
                <w:szCs w:val="21"/>
              </w:rPr>
              <w:t>通讯塑料管材</w:t>
            </w:r>
            <w:r>
              <w:rPr>
                <w:rFonts w:hint="default" w:eastAsia="宋体"/>
                <w:lang w:val="en-US" w:eastAsia="zh-CN"/>
              </w:rPr>
              <w:t>：配料—搅拌—加热—挤出—成型—牵引—切割；</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宋体" w:hAnsi="宋体"/>
                <w:color w:val="auto"/>
                <w:szCs w:val="21"/>
              </w:rPr>
              <w:t>线路铁件</w:t>
            </w:r>
            <w:r>
              <w:rPr>
                <w:rFonts w:hint="default" w:eastAsia="宋体"/>
                <w:lang w:val="en-US" w:eastAsia="zh-CN"/>
              </w:rPr>
              <w:t>：下料—冲压—（焊接）—表面处理（外包）—装配；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宋体" w:hAnsi="宋体"/>
                <w:color w:val="auto"/>
                <w:szCs w:val="21"/>
              </w:rPr>
              <w:t>树脂井盖</w:t>
            </w:r>
            <w:r>
              <w:rPr>
                <w:rFonts w:hint="default" w:eastAsia="宋体"/>
                <w:lang w:val="en-US" w:eastAsia="zh-CN"/>
              </w:rPr>
              <w:t>：配料—加热—</w:t>
            </w:r>
            <w:r>
              <w:rPr>
                <w:rFonts w:hint="eastAsia" w:eastAsia="宋体"/>
                <w:lang w:val="en-US" w:eastAsia="zh-CN"/>
              </w:rPr>
              <w:t>压制—成型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default" w:eastAsia="宋体"/>
                <w:lang w:val="en-US" w:eastAsia="zh-CN"/>
              </w:rPr>
              <w:t>钢绞线：打盘—绞合—成型；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default" w:eastAsia="宋体"/>
                <w:lang w:val="en-US" w:eastAsia="zh-CN"/>
              </w:rPr>
              <w:t>电话线：导线束绞—挤绝缘—检验—包装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color w:val="000000"/>
                <w:sz w:val="20"/>
                <w:szCs w:val="20"/>
                <w:lang w:val="en-US" w:eastAsia="zh-CN"/>
              </w:rPr>
              <w:t>焊接、挤出、压制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color w:val="000000"/>
                <w:sz w:val="20"/>
                <w:szCs w:val="20"/>
                <w:lang w:val="en-US" w:eastAsia="zh-CN"/>
              </w:rPr>
              <w:t>焊接、挤出、压制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ascii="Times New Roman" w:hAnsi="Times New Roman"/>
                <w:sz w:val="21"/>
                <w:szCs w:val="21"/>
                <w:lang w:eastAsia="zh-CN"/>
              </w:rPr>
              <w:t>冲床、电焊机、切割机、折弯机、塑料挤出机、绞线机、压力机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万能试验机、锤击试验装置、分析天平、钢卷尺、千分尺、游标卡尺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sz w:val="21"/>
                <w:szCs w:val="21"/>
                <w:lang w:val="en-US" w:eastAsia="zh-CN"/>
              </w:rPr>
              <w:t>办公面积400平米，</w:t>
            </w:r>
            <w:r>
              <w:rPr>
                <w:rFonts w:hint="eastAsia"/>
                <w:sz w:val="21"/>
                <w:szCs w:val="21"/>
                <w:lang w:eastAsia="zh-CN"/>
              </w:rPr>
              <w:t>生产车间</w:t>
            </w:r>
            <w:r>
              <w:rPr>
                <w:rFonts w:hint="eastAsia"/>
                <w:sz w:val="21"/>
                <w:szCs w:val="21"/>
                <w:lang w:val="en-US" w:eastAsia="zh-CN"/>
              </w:rPr>
              <w:t>面积约5000平米，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 w:val="24"/>
          <w:szCs w:val="24"/>
        </w:rPr>
      </w:pPr>
      <w:r>
        <w:rPr>
          <w:rFonts w:hint="eastAsia" w:ascii="宋体" w:hAnsi="宋体" w:eastAsia="宋体" w:cs="Times New Roman"/>
          <w:b/>
          <w:color w:val="000000"/>
          <w:spacing w:val="-2"/>
          <w:kern w:val="2"/>
          <w:sz w:val="24"/>
          <w:szCs w:val="24"/>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rPr>
            </w:pPr>
            <w:r>
              <w:rPr>
                <w:rFonts w:hint="eastAsia" w:ascii="宋体" w:hAnsi="宋体"/>
                <w:b/>
                <w:color w:val="000000"/>
                <w:sz w:val="20"/>
                <w:szCs w:val="20"/>
              </w:rPr>
              <w:t>▲环境管理体系重点关注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sz w:val="21"/>
                <w:szCs w:val="21"/>
              </w:rPr>
              <w:t>公司质量管理体系符合标准要求，具有较好的充分性、适宜性和有效性，能较好的适应实现质量方针和质量目标的需要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eastAsia="宋体"/>
          <w:b/>
          <w:color w:val="000000"/>
          <w:sz w:val="20"/>
          <w:szCs w:val="20"/>
          <w:lang w:eastAsia="zh-CN"/>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Cs w:val="21"/>
          <w:lang w:eastAsia="zh-CN"/>
        </w:rPr>
        <w:t>通讯塑料管材、线路铁件、钢绞线、树脂井盖、电话线、机箱机柜的生产</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2021年1月30日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271487"/>
    <w:rsid w:val="0B70186E"/>
    <w:rsid w:val="0D16087B"/>
    <w:rsid w:val="16FC74D8"/>
    <w:rsid w:val="224A6907"/>
    <w:rsid w:val="229367BD"/>
    <w:rsid w:val="30F839FD"/>
    <w:rsid w:val="31B42522"/>
    <w:rsid w:val="32E8644B"/>
    <w:rsid w:val="38E377CF"/>
    <w:rsid w:val="4A3517AD"/>
    <w:rsid w:val="4C971B61"/>
    <w:rsid w:val="57B57096"/>
    <w:rsid w:val="726F2E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2021-03-07T02:56:56Z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