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受审核方：宝鸡瑞达消失模有限公司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br w:type="page"/>
      </w:r>
      <w:r>
        <w:rPr>
          <w:rFonts w:hint="eastAsia" w:ascii="宋体" w:hAnsi="宋体"/>
          <w:b/>
          <w:color w:val="000000"/>
          <w:sz w:val="26"/>
          <w:szCs w:val="26"/>
        </w:rPr>
        <w:t>一、审核方基本信息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2018-N1EMS-1222792</w:t>
            </w:r>
          </w:p>
          <w:p>
            <w:pPr>
              <w:jc w:val="center"/>
              <w:rPr>
                <w:b/>
                <w:sz w:val="21"/>
                <w:szCs w:val="21"/>
              </w:rPr>
            </w:pPr>
            <w:r>
              <w:rPr>
                <w:b/>
                <w:sz w:val="21"/>
                <w:szCs w:val="21"/>
              </w:rPr>
              <w:t>2018-N1QMS-1222792</w:t>
            </w:r>
          </w:p>
        </w:tc>
        <w:tc>
          <w:tcPr>
            <w:tcW w:w="1728" w:type="dxa"/>
            <w:gridSpan w:val="2"/>
            <w:vAlign w:val="center"/>
          </w:tcPr>
          <w:p>
            <w:pPr>
              <w:jc w:val="center"/>
              <w:rPr>
                <w:b/>
                <w:sz w:val="21"/>
                <w:szCs w:val="21"/>
              </w:rPr>
            </w:pPr>
            <w:r>
              <w:rPr>
                <w:b/>
                <w:sz w:val="21"/>
                <w:szCs w:val="21"/>
              </w:rPr>
              <w:t>E:17.10.02</w:t>
            </w:r>
          </w:p>
          <w:p>
            <w:pPr>
              <w:jc w:val="center"/>
              <w:rPr>
                <w:b/>
                <w:sz w:val="21"/>
                <w:szCs w:val="21"/>
              </w:rPr>
            </w:pPr>
            <w:r>
              <w:rPr>
                <w:b/>
                <w:sz w:val="21"/>
                <w:szCs w:val="21"/>
              </w:rPr>
              <w:t>Q:17.10.02</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郭力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2020-N1EMS-1263290</w:t>
            </w:r>
          </w:p>
          <w:p>
            <w:pPr>
              <w:jc w:val="center"/>
              <w:rPr>
                <w:b/>
                <w:sz w:val="21"/>
                <w:szCs w:val="21"/>
              </w:rPr>
            </w:pPr>
            <w:r>
              <w:rPr>
                <w:b/>
                <w:sz w:val="21"/>
                <w:szCs w:val="21"/>
              </w:rPr>
              <w:t>2021-N1QMS-1263290</w:t>
            </w:r>
          </w:p>
        </w:tc>
        <w:tc>
          <w:tcPr>
            <w:tcW w:w="1728" w:type="dxa"/>
            <w:gridSpan w:val="2"/>
            <w:vAlign w:val="center"/>
          </w:tcPr>
          <w:p>
            <w:pPr>
              <w:jc w:val="center"/>
              <w:rPr>
                <w:b/>
                <w:sz w:val="21"/>
                <w:szCs w:val="21"/>
              </w:rPr>
            </w:pPr>
            <w:r>
              <w:rPr>
                <w:b/>
                <w:sz w:val="21"/>
                <w:szCs w:val="21"/>
              </w:rPr>
              <w:t>E:17.10.02</w:t>
            </w:r>
          </w:p>
          <w:p>
            <w:pPr>
              <w:jc w:val="center"/>
              <w:rPr>
                <w:b/>
                <w:sz w:val="21"/>
                <w:szCs w:val="21"/>
              </w:rPr>
            </w:pPr>
            <w:r>
              <w:rPr>
                <w:b/>
                <w:sz w:val="21"/>
                <w:szCs w:val="21"/>
              </w:rPr>
              <w:t>Q:17.10.02</w:t>
            </w:r>
          </w:p>
        </w:tc>
        <w:tc>
          <w:tcPr>
            <w:tcW w:w="1729" w:type="dxa"/>
            <w:gridSpan w:val="2"/>
            <w:vAlign w:val="center"/>
          </w:tcPr>
          <w:p>
            <w:pPr>
              <w:jc w:val="center"/>
              <w:rPr>
                <w:b/>
                <w:sz w:val="21"/>
                <w:szCs w:val="21"/>
              </w:rPr>
            </w:pPr>
            <w:r>
              <w:rPr>
                <w:b/>
                <w:sz w:val="21"/>
                <w:szCs w:val="21"/>
              </w:rPr>
              <w:t>ISC[S]0372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宝鸡瑞达消失模有限公司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陕西省宝鸡市陈仓区东关大王村</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721303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陕西省宝鸡市陈仓区东关大王村</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721303</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陕西省宝鸡市陈仓区东关大王村</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721303</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张云良</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18391757717</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张云良</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张  育</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2021年02月26日 下午至2021年02月27日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sz w:val="20"/>
              </w:rPr>
              <w:t>机械（汽车零配件）的加工（铸、造冶炼除外）</w:t>
            </w:r>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sz w:val="20"/>
              </w:rPr>
              <w:t>机械（汽车零配件）的加工（铸、造冶炼除外）及其所涉及的环境管理活动</w:t>
            </w:r>
            <w:bookmarkStart w:id="28" w:name="_GoBack"/>
            <w:bookmarkEnd w:id="28"/>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E：17.10.02</w:t>
            </w:r>
          </w:p>
          <w:p>
            <w:pPr>
              <w:spacing w:line="260" w:lineRule="exact"/>
              <w:rPr>
                <w:rFonts w:ascii="宋体" w:hAnsi="宋体"/>
                <w:b/>
                <w:sz w:val="21"/>
                <w:szCs w:val="21"/>
              </w:rPr>
            </w:pPr>
            <w:r>
              <w:rPr>
                <w:rFonts w:ascii="宋体" w:hAnsi="宋体"/>
                <w:b/>
                <w:sz w:val="21"/>
                <w:szCs w:val="21"/>
              </w:rPr>
              <w:t>Q：17.10.02</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2023.4.5</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2020.4.6</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color w:val="0000FF"/>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 xml:space="preserve">  </w:t>
      </w:r>
      <w:r>
        <w:rPr>
          <w:rFonts w:hint="eastAsia" w:ascii="宋体" w:hAnsi="宋体"/>
          <w:b/>
          <w:color w:val="0000FF"/>
          <w:sz w:val="21"/>
          <w:szCs w:val="21"/>
          <w:lang w:val="en-US" w:eastAsia="zh-CN"/>
        </w:rPr>
        <w:t>2020.4.10</w:t>
      </w:r>
      <w:r>
        <w:rPr>
          <w:rFonts w:hint="eastAsia" w:ascii="宋体" w:hAnsi="宋体"/>
          <w:b/>
          <w:color w:val="0000FF"/>
          <w:sz w:val="21"/>
          <w:szCs w:val="21"/>
        </w:rPr>
        <w:t>至</w:t>
      </w:r>
      <w:r>
        <w:rPr>
          <w:rFonts w:hint="eastAsia" w:ascii="宋体" w:hAnsi="宋体"/>
          <w:b/>
          <w:color w:val="0000FF"/>
          <w:sz w:val="21"/>
          <w:szCs w:val="21"/>
          <w:lang w:val="en-US" w:eastAsia="zh-CN"/>
        </w:rPr>
        <w:t>2021</w:t>
      </w:r>
      <w:r>
        <w:rPr>
          <w:rFonts w:hint="eastAsia" w:ascii="宋体" w:hAnsi="宋体"/>
          <w:b/>
          <w:color w:val="0000FF"/>
          <w:sz w:val="21"/>
          <w:szCs w:val="21"/>
        </w:rPr>
        <w:t>年</w:t>
      </w:r>
      <w:r>
        <w:rPr>
          <w:rFonts w:hint="eastAsia" w:ascii="宋体" w:hAnsi="宋体"/>
          <w:b/>
          <w:color w:val="0000FF"/>
          <w:sz w:val="21"/>
          <w:szCs w:val="21"/>
          <w:lang w:val="en-US" w:eastAsia="zh-CN"/>
        </w:rPr>
        <w:t>2</w:t>
      </w:r>
      <w:r>
        <w:rPr>
          <w:rFonts w:hint="eastAsia" w:ascii="宋体" w:hAnsi="宋体"/>
          <w:b/>
          <w:color w:val="0000FF"/>
          <w:sz w:val="21"/>
          <w:szCs w:val="21"/>
        </w:rPr>
        <w:t>月</w:t>
      </w:r>
      <w:r>
        <w:rPr>
          <w:rFonts w:hint="eastAsia" w:ascii="宋体" w:hAnsi="宋体"/>
          <w:b/>
          <w:color w:val="0000FF"/>
          <w:sz w:val="21"/>
          <w:szCs w:val="21"/>
          <w:lang w:val="en-US" w:eastAsia="zh-CN"/>
        </w:rPr>
        <w:t>26</w:t>
      </w:r>
      <w:r>
        <w:rPr>
          <w:rFonts w:hint="eastAsia" w:ascii="宋体" w:hAnsi="宋体"/>
          <w:b/>
          <w:color w:val="0000FF"/>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auto"/>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auto"/>
              <w:rPr>
                <w:rFonts w:ascii="宋体" w:hAnsi="宋体"/>
                <w:b/>
                <w:sz w:val="21"/>
                <w:szCs w:val="21"/>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auto"/>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auto"/>
              <w:ind w:firstLine="480" w:firstLineChars="200"/>
            </w:pPr>
            <w:r>
              <w:rPr>
                <w:rFonts w:hint="eastAsia"/>
              </w:rPr>
              <w:t>公司识别并确定了利益相关方：顾客、外部供应商、员工及其他为本公司工作的人员或组织等。</w:t>
            </w:r>
          </w:p>
          <w:p>
            <w:pPr>
              <w:spacing w:line="240" w:lineRule="auto"/>
              <w:rPr>
                <w:rFonts w:ascii="宋体" w:hAnsi="宋体"/>
                <w:b/>
                <w:sz w:val="21"/>
                <w:szCs w:val="21"/>
              </w:rPr>
            </w:pPr>
            <w:r>
              <w:rPr>
                <w:rFonts w:hint="eastAsia"/>
              </w:rPr>
              <w:t>总经理介绍公司通过投标、合同约定、不同形式沟通（如：电话、面对面、调查问卷等）形式了解相关方的需求，然后提供出满足他们要求提供优质产品和完善的服务，目前公司能满足相关方的需求和期望。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auto"/>
              <w:rPr>
                <w:rFonts w:ascii="宋体" w:hAnsi="宋体"/>
                <w:b/>
                <w:color w:val="000000" w:themeColor="text1"/>
                <w:sz w:val="20"/>
                <w:szCs w:val="20"/>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auto"/>
              <w:ind w:left="228" w:leftChars="95"/>
              <w:rPr>
                <w:rFonts w:ascii="宋体" w:hAnsi="宋体"/>
                <w:b/>
                <w:sz w:val="21"/>
                <w:szCs w:val="21"/>
              </w:rPr>
            </w:pPr>
            <w:r>
              <w:rPr>
                <w:rFonts w:hint="eastAsia" w:ascii="宋体" w:hAnsi="宋体"/>
                <w:color w:val="000000" w:themeColor="text1"/>
              </w:rPr>
              <w:t>最高管理者组织制定了方针：现行的管理方针在管理手册有专门的释议，具备适宜性。通过</w:t>
            </w:r>
            <w:r>
              <w:rPr>
                <w:rFonts w:hint="eastAsia" w:ascii="宋体" w:hAnsi="宋体" w:cs="宋体"/>
                <w:color w:val="000000"/>
              </w:rPr>
              <w:t>日常工作会议、口头交流</w:t>
            </w:r>
            <w:r>
              <w:rPr>
                <w:rFonts w:hint="eastAsia" w:ascii="宋体" w:hAnsi="宋体"/>
                <w:color w:val="000000" w:themeColor="text1"/>
              </w:rPr>
              <w:t>等</w:t>
            </w:r>
            <w:r>
              <w:rPr>
                <w:rFonts w:hint="eastAsia" w:ascii="宋体" w:hAnsi="宋体" w:cs="宋体"/>
                <w:color w:val="000000"/>
              </w:rPr>
              <w:t>将质量方针的要求向全员传达和灌输</w:t>
            </w:r>
            <w:r>
              <w:rPr>
                <w:rFonts w:hint="eastAsia" w:ascii="宋体" w:hAnsi="宋体"/>
                <w:color w:val="000000" w:themeColor="text1"/>
              </w:rPr>
              <w:t>，</w:t>
            </w:r>
            <w:r>
              <w:rPr>
                <w:rFonts w:hint="eastAsia" w:ascii="宋体" w:hAnsi="宋体" w:cs="宋体"/>
                <w:color w:val="000000"/>
              </w:rPr>
              <w:t>确保员工增强顾客满意和守法意识</w:t>
            </w:r>
            <w:r>
              <w:rPr>
                <w:rFonts w:hint="eastAsia" w:ascii="宋体" w:hAnsi="宋体"/>
                <w:color w:val="000000" w:themeColor="text1"/>
              </w:rPr>
              <w:t>。管理方针：</w:t>
            </w:r>
            <w:r>
              <w:rPr>
                <w:rFonts w:hint="eastAsia" w:ascii="宋体" w:hAnsi="宋体"/>
                <w:szCs w:val="21"/>
              </w:rPr>
              <w:t>质量为本、顾客至上、持续改进、追求最佳。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auto"/>
              <w:rPr>
                <w:b/>
                <w:color w:val="000000" w:themeColor="text1"/>
              </w:rPr>
            </w:pPr>
            <w:r>
              <w:rPr>
                <w:b/>
                <w:color w:val="000000" w:themeColor="text1"/>
              </w:rPr>
              <w:t>4、</w:t>
            </w:r>
            <w:r>
              <w:rPr>
                <w:rFonts w:hint="eastAsia"/>
                <w:b/>
                <w:color w:val="000000" w:themeColor="text1"/>
              </w:rPr>
              <w:t>风险识别与控制策划（QMS）</w:t>
            </w:r>
          </w:p>
          <w:p>
            <w:pPr>
              <w:spacing w:line="240" w:lineRule="auto"/>
              <w:rPr>
                <w:rFonts w:ascii="宋体" w:hAnsi="宋体"/>
                <w:b/>
                <w:sz w:val="21"/>
                <w:szCs w:val="2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r>
              <w:rPr>
                <w:rFonts w:ascii="宋体" w:hAnsi="宋体"/>
                <w:b/>
                <w:color w:val="000000" w:themeColor="text1"/>
                <w:sz w:val="20"/>
                <w:szCs w:val="20"/>
              </w:rPr>
              <w:t>机械（汽车零配件）的加工（铸、造冶炼除外）</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 xml:space="preserve">其中关键过程有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无</w:t>
            </w:r>
          </w:p>
          <w:p>
            <w:pPr>
              <w:tabs>
                <w:tab w:val="left" w:pos="540"/>
              </w:tabs>
              <w:spacing w:line="300" w:lineRule="exact"/>
              <w:ind w:left="201" w:leftChars="0" w:hanging="201" w:hangingChars="100"/>
              <w:rPr>
                <w:rFonts w:ascii="宋体" w:hAnsi="宋体"/>
                <w:b/>
                <w:sz w:val="21"/>
                <w:szCs w:val="21"/>
              </w:rPr>
            </w:pPr>
            <w:r>
              <w:rPr>
                <w:b/>
                <w:color w:val="000000" w:themeColor="text1"/>
                <w:sz w:val="20"/>
                <w:szCs w:val="20"/>
              </w:rPr>
              <w:pict>
                <v:shape id="_x0000_s2053" o:spid="_x0000_s2053" o:spt="32" type="#_x0000_t32" style="position:absolute;left:0pt;margin-left:157.9pt;margin-top:12.75pt;height:0pt;width:261.75pt;z-index:25168384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4" o:spid="_x0000_s2054" o:spt="32" type="#_x0000_t32" style="position:absolute;left:0pt;margin-left:55.15pt;margin-top:12.75pt;height:0pt;width:42pt;z-index:25168281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无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hint="eastAsia" w:ascii="宋体" w:hAnsi="宋体"/>
                <w:b/>
                <w:color w:val="000000" w:themeColor="text1"/>
                <w:spacing w:val="-12"/>
                <w:szCs w:val="21"/>
              </w:rPr>
              <w:t>环境因素/</w:t>
            </w:r>
          </w:p>
          <w:p>
            <w:pPr>
              <w:rPr>
                <w:rFonts w:ascii="宋体" w:hAnsi="宋体"/>
                <w:b/>
                <w:color w:val="000000" w:themeColor="text1"/>
                <w:spacing w:val="-8"/>
                <w:szCs w:val="21"/>
              </w:rPr>
            </w:pPr>
            <w:r>
              <w:rPr>
                <w:rFonts w:hint="eastAsia" w:ascii="宋体" w:hAnsi="宋体"/>
                <w:b/>
                <w:color w:val="000000" w:themeColor="text1"/>
                <w:szCs w:val="21"/>
              </w:rPr>
              <w:t>（</w:t>
            </w:r>
            <w:r>
              <w:rPr>
                <w:rFonts w:hint="eastAsia" w:ascii="宋体" w:hAnsi="宋体"/>
                <w:b/>
                <w:color w:val="000000" w:themeColor="text1"/>
                <w:spacing w:val="-8"/>
                <w:szCs w:val="21"/>
              </w:rPr>
              <w:t>环境因素</w:t>
            </w:r>
            <w:r>
              <w:rPr>
                <w:rFonts w:hint="eastAsia" w:ascii="宋体" w:hAnsi="宋体"/>
                <w:b/>
                <w:color w:val="000000" w:themeColor="text1"/>
                <w:szCs w:val="21"/>
              </w:rPr>
              <w:t>辨识是否充分、重要环境因素评价合理性，</w:t>
            </w:r>
            <w:r>
              <w:rPr>
                <w:rFonts w:hint="eastAsia" w:ascii="宋体" w:hAnsi="宋体"/>
                <w:b/>
                <w:color w:val="000000" w:themeColor="text1"/>
                <w:spacing w:val="-8"/>
                <w:szCs w:val="21"/>
              </w:rPr>
              <w:t>以及环境因素动态变更的及时性等）</w:t>
            </w:r>
          </w:p>
          <w:p>
            <w:pPr>
              <w:pStyle w:val="4"/>
              <w:ind w:firstLine="480" w:firstLineChars="200"/>
              <w:rPr>
                <w:rFonts w:ascii="宋体" w:hAnsi="宋体"/>
                <w:color w:val="000000" w:themeColor="text1"/>
                <w:szCs w:val="21"/>
              </w:rPr>
            </w:pPr>
            <w:r>
              <w:rPr>
                <w:rFonts w:hint="eastAsia" w:ascii="宋体" w:hAnsi="宋体"/>
                <w:color w:val="000000" w:themeColor="text1"/>
                <w:szCs w:val="21"/>
              </w:rPr>
              <w:t>识别了办公、生产、采购、销售、质检等过程的环境因素，动态更新，评价出的重要环境因素包括：</w:t>
            </w:r>
            <w:r>
              <w:rPr>
                <w:rFonts w:hint="eastAsia" w:ascii="宋体" w:hAnsi="宋体" w:eastAsia="宋体" w:cs="宋体"/>
                <w:sz w:val="21"/>
                <w:szCs w:val="21"/>
              </w:rPr>
              <w:t>固体废弃物排放、火灾事故的发生、噪声排放</w:t>
            </w:r>
            <w:r>
              <w:rPr>
                <w:rFonts w:hint="eastAsia" w:ascii="宋体" w:hAnsi="宋体"/>
                <w:color w:val="000000" w:themeColor="text1"/>
                <w:szCs w:val="21"/>
              </w:rPr>
              <w:t>。</w:t>
            </w:r>
          </w:p>
          <w:p>
            <w:pPr>
              <w:pStyle w:val="4"/>
              <w:ind w:firstLine="480" w:firstLineChars="200"/>
              <w:rPr>
                <w:rFonts w:ascii="宋体" w:hAnsi="宋体"/>
                <w:color w:val="000000" w:themeColor="text1"/>
                <w:szCs w:val="21"/>
              </w:rPr>
            </w:pPr>
            <w:r>
              <w:rPr>
                <w:rFonts w:hint="eastAsia" w:ascii="宋体" w:hAnsi="宋体"/>
                <w:color w:val="000000" w:themeColor="text1"/>
                <w:szCs w:val="21"/>
              </w:rPr>
              <w:t>在采购、销售、生产、质检、仓储、运输、交付、日常办公等过程能使用生命周期观点和方法识别环境因素并加以管理。</w:t>
            </w:r>
          </w:p>
          <w:p>
            <w:pPr>
              <w:pStyle w:val="4"/>
              <w:ind w:firstLine="480" w:firstLineChars="200"/>
              <w:rPr>
                <w:rFonts w:ascii="宋体" w:hAnsi="宋体"/>
                <w:b/>
                <w:sz w:val="21"/>
                <w:szCs w:val="21"/>
              </w:rPr>
            </w:pPr>
            <w:r>
              <w:rPr>
                <w:rFonts w:hint="eastAsia" w:ascii="宋体" w:hAnsi="宋体"/>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5"/>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5"/>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rPr>
              <w:sym w:font="Wingdings 2" w:char="0052"/>
            </w:r>
            <w:r>
              <w:rPr>
                <w:rFonts w:hint="eastAsia" w:ascii="宋体" w:hAnsi="宋体"/>
                <w:b/>
                <w:szCs w:val="21"/>
              </w:rPr>
              <w:t>环境因素□危险源，</w:t>
            </w:r>
            <w:r>
              <w:rPr>
                <w:rFonts w:hint="eastAsia" w:ascii="宋体" w:hAnsi="宋体"/>
                <w:b/>
                <w:szCs w:val="21"/>
              </w:rPr>
              <w:sym w:font="Wingdings 2" w:char="0052"/>
            </w:r>
            <w:r>
              <w:rPr>
                <w:rFonts w:hint="eastAsia" w:ascii="宋体" w:hAnsi="宋体"/>
                <w:b/>
                <w:szCs w:val="21"/>
              </w:rPr>
              <w:t>确定□未确定法律法规要求的具体条款，</w:t>
            </w:r>
          </w:p>
          <w:p>
            <w:pPr>
              <w:spacing w:line="400" w:lineRule="exact"/>
              <w:ind w:firstLine="480"/>
              <w:rPr>
                <w:rFonts w:ascii="宋体" w:cs="宋体"/>
                <w:szCs w:val="21"/>
              </w:rPr>
            </w:pPr>
            <w:r>
              <w:rPr>
                <w:rFonts w:hint="eastAsia" w:ascii="宋体" w:hAnsi="宋体"/>
                <w:b/>
                <w:szCs w:val="21"/>
              </w:rPr>
              <w:t>法律法规的宣传方式：</w:t>
            </w:r>
            <w:r>
              <w:rPr>
                <w:rFonts w:hint="eastAsia" w:ascii="宋体" w:hAnsi="宋体" w:cs="宋体"/>
                <w:szCs w:val="21"/>
              </w:rPr>
              <w:t>通过培训、开会、发文件等形式将法律法规要求传达给了员工和相关方。</w:t>
            </w:r>
          </w:p>
          <w:p>
            <w:pPr>
              <w:pStyle w:val="15"/>
              <w:numPr>
                <w:ilvl w:val="0"/>
                <w:numId w:val="1"/>
              </w:numPr>
              <w:tabs>
                <w:tab w:val="left" w:pos="540"/>
              </w:tabs>
              <w:spacing w:line="300" w:lineRule="exact"/>
              <w:ind w:firstLineChars="0"/>
              <w:rPr>
                <w:rFonts w:ascii="宋体" w:hAnsi="宋体"/>
                <w:b/>
                <w:szCs w:val="21"/>
              </w:rPr>
            </w:pPr>
          </w:p>
          <w:p>
            <w:pPr>
              <w:pStyle w:val="15"/>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b/>
                <w:szCs w:val="21"/>
                <w:lang w:eastAsia="zh-CN"/>
              </w:rPr>
              <w:t>：</w:t>
            </w:r>
            <w:r>
              <w:rPr>
                <w:rFonts w:hint="eastAsia" w:ascii="宋体" w:hAnsi="宋体"/>
                <w:b/>
                <w:szCs w:val="21"/>
                <w:lang w:val="en-US" w:eastAsia="zh-CN"/>
              </w:rPr>
              <w:t>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auto"/>
              <w:rPr>
                <w:rFonts w:ascii="宋体" w:hAnsi="宋体" w:cs="宋体"/>
                <w:color w:val="000000"/>
                <w:kern w:val="0"/>
                <w:szCs w:val="21"/>
              </w:rPr>
            </w:pPr>
            <w:r>
              <w:rPr>
                <w:rFonts w:hint="eastAsia" w:ascii="宋体" w:hAnsi="宋体" w:cs="宋体"/>
                <w:color w:val="000000"/>
                <w:kern w:val="0"/>
                <w:szCs w:val="21"/>
              </w:rPr>
              <w:t>质量</w:t>
            </w:r>
            <w:r>
              <w:rPr>
                <w:rFonts w:hint="eastAsia" w:ascii="宋体" w:hAnsi="宋体" w:cs="宋体"/>
                <w:color w:val="000000"/>
                <w:kern w:val="0"/>
                <w:szCs w:val="21"/>
                <w:lang w:val="en-US" w:eastAsia="zh-CN"/>
              </w:rPr>
              <w:t>环境</w:t>
            </w:r>
            <w:r>
              <w:rPr>
                <w:rFonts w:hint="eastAsia" w:ascii="宋体" w:hAnsi="宋体" w:cs="宋体"/>
                <w:color w:val="000000"/>
                <w:kern w:val="0"/>
                <w:szCs w:val="21"/>
              </w:rPr>
              <w:t>目标：</w:t>
            </w:r>
          </w:p>
          <w:p>
            <w:pPr>
              <w:spacing w:line="240" w:lineRule="auto"/>
              <w:rPr>
                <w:rFonts w:hint="eastAsia" w:ascii="宋体" w:hAnsi="宋体" w:eastAsia="宋体" w:cs="宋体"/>
                <w:szCs w:val="21"/>
              </w:rPr>
            </w:pPr>
            <w:r>
              <w:rPr>
                <w:rFonts w:hint="eastAsia" w:ascii="宋体" w:hAnsi="宋体" w:cs="宋体"/>
                <w:szCs w:val="21"/>
              </w:rPr>
              <w:t>产品</w:t>
            </w:r>
            <w:r>
              <w:rPr>
                <w:rFonts w:hint="eastAsia" w:ascii="宋体" w:hAnsi="宋体" w:eastAsia="宋体" w:cs="宋体"/>
                <w:szCs w:val="21"/>
              </w:rPr>
              <w:t>一次交验合格率≥95%；</w:t>
            </w:r>
          </w:p>
          <w:p>
            <w:pPr>
              <w:spacing w:line="240" w:lineRule="auto"/>
              <w:rPr>
                <w:rFonts w:hint="eastAsia" w:ascii="宋体" w:hAnsi="宋体" w:eastAsia="宋体" w:cs="宋体"/>
                <w:szCs w:val="21"/>
              </w:rPr>
            </w:pPr>
            <w:r>
              <w:rPr>
                <w:rFonts w:hint="eastAsia" w:ascii="宋体" w:hAnsi="宋体" w:eastAsia="宋体" w:cs="宋体"/>
                <w:szCs w:val="21"/>
              </w:rPr>
              <w:t>顾客反馈信息及时处理率100%；</w:t>
            </w:r>
          </w:p>
          <w:p>
            <w:pPr>
              <w:spacing w:line="240" w:lineRule="auto"/>
              <w:rPr>
                <w:rFonts w:hint="eastAsia" w:ascii="宋体" w:hAnsi="宋体" w:eastAsia="宋体" w:cs="宋体"/>
                <w:szCs w:val="21"/>
              </w:rPr>
            </w:pPr>
            <w:r>
              <w:rPr>
                <w:rFonts w:hint="eastAsia" w:ascii="宋体" w:hAnsi="宋体" w:eastAsia="宋体" w:cs="宋体"/>
                <w:szCs w:val="21"/>
              </w:rPr>
              <w:t>顾客满意度90%，三年内每年递增1%。</w:t>
            </w:r>
          </w:p>
          <w:p>
            <w:pPr>
              <w:spacing w:line="240" w:lineRule="auto"/>
              <w:rPr>
                <w:rFonts w:hint="eastAsia" w:ascii="宋体" w:hAnsi="宋体" w:eastAsia="宋体" w:cs="宋体"/>
                <w:szCs w:val="21"/>
              </w:rPr>
            </w:pPr>
            <w:r>
              <w:rPr>
                <w:rFonts w:hint="eastAsia" w:ascii="宋体" w:hAnsi="宋体" w:eastAsia="宋体" w:cs="宋体"/>
                <w:szCs w:val="21"/>
                <w:lang w:val="en-US" w:eastAsia="zh-CN"/>
              </w:rPr>
              <w:t>重大环境污染事故为零</w:t>
            </w:r>
            <w:r>
              <w:rPr>
                <w:rFonts w:hint="eastAsia" w:ascii="宋体" w:hAnsi="宋体" w:eastAsia="宋体" w:cs="宋体"/>
                <w:szCs w:val="21"/>
              </w:rPr>
              <w:t>；</w:t>
            </w:r>
          </w:p>
          <w:p>
            <w:pPr>
              <w:spacing w:line="240" w:lineRule="auto"/>
              <w:rPr>
                <w:rFonts w:hint="eastAsia" w:ascii="宋体" w:hAnsi="宋体" w:eastAsia="宋体" w:cs="宋体"/>
                <w:szCs w:val="21"/>
              </w:rPr>
            </w:pPr>
            <w:r>
              <w:rPr>
                <w:rFonts w:hint="eastAsia" w:ascii="宋体" w:hAnsi="宋体" w:eastAsia="宋体" w:cs="宋体"/>
                <w:szCs w:val="21"/>
                <w:lang w:val="en-US" w:eastAsia="zh-CN"/>
              </w:rPr>
              <w:t>火灾事故为零</w:t>
            </w:r>
            <w:r>
              <w:rPr>
                <w:rFonts w:hint="eastAsia" w:ascii="宋体" w:hAnsi="宋体" w:eastAsia="宋体" w:cs="宋体"/>
                <w:szCs w:val="21"/>
              </w:rPr>
              <w:t>；</w:t>
            </w:r>
          </w:p>
          <w:p>
            <w:pPr>
              <w:spacing w:line="240" w:lineRule="auto"/>
              <w:rPr>
                <w:rFonts w:hint="eastAsia" w:ascii="宋体" w:hAnsi="宋体" w:eastAsia="宋体" w:cs="宋体"/>
                <w:szCs w:val="21"/>
              </w:rPr>
            </w:pPr>
            <w:r>
              <w:rPr>
                <w:rFonts w:hint="eastAsia" w:ascii="宋体" w:hAnsi="宋体" w:eastAsia="宋体" w:cs="宋体"/>
                <w:szCs w:val="21"/>
                <w:lang w:val="en-US" w:eastAsia="zh-CN"/>
              </w:rPr>
              <w:t>环境影响投诉次数为零</w:t>
            </w:r>
            <w:r>
              <w:rPr>
                <w:rFonts w:hint="eastAsia" w:ascii="宋体" w:hAnsi="宋体" w:eastAsia="宋体" w:cs="宋体"/>
                <w:szCs w:val="21"/>
              </w:rPr>
              <w:t>0；</w:t>
            </w:r>
          </w:p>
          <w:p>
            <w:pPr>
              <w:spacing w:line="240" w:lineRule="auto"/>
            </w:pPr>
            <w:r>
              <w:rPr>
                <w:rFonts w:hint="eastAsia" w:ascii="宋体" w:hAnsi="宋体" w:eastAsia="宋体" w:cs="宋体"/>
                <w:szCs w:val="21"/>
                <w:lang w:val="en-US" w:eastAsia="zh-CN"/>
              </w:rPr>
              <w:t>固体废弃物分类处理率为100%</w:t>
            </w:r>
            <w:r>
              <w:rPr>
                <w:rFonts w:hint="eastAsia" w:ascii="宋体" w:hAnsi="宋体" w:eastAsia="宋体" w:cs="宋体"/>
                <w:szCs w:val="21"/>
              </w:rPr>
              <w:t>；</w:t>
            </w:r>
          </w:p>
          <w:p>
            <w:pPr>
              <w:spacing w:line="240" w:lineRule="exact"/>
              <w:rPr>
                <w:rFonts w:ascii="宋体" w:hAnsi="宋体"/>
                <w:b/>
                <w:sz w:val="21"/>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6月1日予以发布并有效实施运行，经对文件评审判定：符合标准要求，符合公司的实际且具有可操作性。组织对管理体系文件化信息进行了有效性管理，包括文件的格式、标识、批准、修改、发放等环节，组织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240" w:lineRule="auto"/>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240" w:lineRule="auto"/>
              <w:rPr>
                <w:rFonts w:ascii="宋体" w:hAnsi="宋体"/>
                <w:b/>
                <w:sz w:val="21"/>
                <w:szCs w:val="21"/>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auto"/>
              <w:rPr>
                <w:rFonts w:ascii="宋体" w:hAnsi="宋体"/>
                <w:b/>
                <w:sz w:val="21"/>
                <w:szCs w:val="21"/>
              </w:rPr>
            </w:pPr>
            <w:r>
              <w:rPr>
                <w:rFonts w:hint="eastAsia" w:ascii="宋体" w:hAnsi="宋体"/>
                <w:szCs w:val="21"/>
              </w:rPr>
              <w:t>主要生产设备包括：数控车床、立式升降台铣床、摇臂钻床、砂轮机等，可以满足生产需要。对设备按月方式进行点检维护保养，并实施。特种设备：无。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auto"/>
              <w:rPr>
                <w:rFonts w:ascii="宋体" w:hAnsi="宋体"/>
                <w:b/>
                <w:sz w:val="21"/>
                <w:szCs w:val="21"/>
              </w:rPr>
            </w:pPr>
            <w:r>
              <w:rPr>
                <w:rFonts w:hint="eastAsia" w:ascii="宋体" w:hAnsi="宋体"/>
                <w:szCs w:val="21"/>
              </w:rPr>
              <w:t>车间内设备布置合理，通道部分不畅通，照明设施齐全，均配备了电风扇、消防设施等设施，作业场所光线较充足。生产区域对环境要求不高，目前工作环境符合生产需要。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auto"/>
              <w:rPr>
                <w:rFonts w:ascii="宋体" w:hAnsi="宋体"/>
                <w:b/>
                <w:sz w:val="21"/>
                <w:szCs w:val="21"/>
              </w:rPr>
            </w:pPr>
            <w:r>
              <w:rPr>
                <w:rFonts w:hint="eastAsia"/>
                <w:szCs w:val="22"/>
              </w:rPr>
              <w:t>生产车间及检验部门均按策划的要求配置了相应的检测设备，均采用委外送检的方式。主要检测设备有布氏硬度计</w:t>
            </w:r>
            <w:r>
              <w:rPr>
                <w:rFonts w:hint="eastAsia"/>
                <w:szCs w:val="22"/>
                <w:lang w:eastAsia="zh-CN"/>
              </w:rPr>
              <w:t>、电子天平、金相分析仪、可见分光光度计、</w:t>
            </w:r>
            <w:r>
              <w:rPr>
                <w:rFonts w:hint="eastAsia" w:ascii="宋体" w:hAnsi="宋体"/>
                <w:szCs w:val="21"/>
              </w:rPr>
              <w:t>游标卡尺、百分表、高度尺、深度尺等</w:t>
            </w:r>
            <w:r>
              <w:rPr>
                <w:rFonts w:hint="eastAsia"/>
                <w:szCs w:val="22"/>
              </w:rPr>
              <w:t>。</w:t>
            </w:r>
            <w:r>
              <w:rPr>
                <w:rFonts w:hint="eastAsia" w:ascii="宋体" w:hAnsi="宋体"/>
                <w:szCs w:val="21"/>
              </w:rPr>
              <w:t>均能提供在用量具的有效检定或校准证。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adjustRightInd w:val="0"/>
              <w:snapToGrid w:val="0"/>
              <w:spacing w:line="360" w:lineRule="auto"/>
              <w:ind w:firstLine="480" w:firstLineChars="200"/>
              <w:rPr>
                <w:rFonts w:ascii="宋体" w:hAnsi="宋体" w:cs="宋体"/>
              </w:rPr>
            </w:pPr>
            <w:r>
              <w:rPr>
                <w:rFonts w:hint="eastAsia" w:ascii="宋体" w:hAnsi="宋体" w:cs="宋体"/>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rPr>
              <w:t>--公司明确组织知识作为公司的重要资源，按内部文件或外来文件予以受控管理，包括必要的分级保密措施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cs="宋体"/>
                <w:bCs/>
                <w:szCs w:val="21"/>
              </w:rPr>
              <w:t>环保设备配置</w:t>
            </w:r>
            <w:r>
              <w:rPr>
                <w:rFonts w:ascii="宋体" w:hAnsi="宋体" w:cs="宋体"/>
                <w:bCs/>
                <w:szCs w:val="21"/>
              </w:rPr>
              <w:t>:</w:t>
            </w:r>
            <w:r>
              <w:rPr>
                <w:rFonts w:ascii="宋体" w:hAnsi="宋体" w:cs="宋体"/>
                <w:szCs w:val="21"/>
              </w:rPr>
              <w:t xml:space="preserve"> 布袋除尘器</w:t>
            </w:r>
            <w:r>
              <w:rPr>
                <w:rFonts w:hint="eastAsia" w:ascii="宋体" w:hAnsi="宋体" w:cs="宋体"/>
                <w:szCs w:val="21"/>
              </w:rPr>
              <w:t>、</w:t>
            </w:r>
            <w:r>
              <w:rPr>
                <w:rFonts w:hAnsi="宋体"/>
              </w:rPr>
              <w:t>15m高的排气筒</w:t>
            </w:r>
            <w:r>
              <w:rPr>
                <w:rFonts w:hint="eastAsia" w:hAnsi="宋体"/>
              </w:rPr>
              <w:t>、</w:t>
            </w:r>
            <w:r>
              <w:rPr>
                <w:rFonts w:hint="eastAsia" w:hAnsi="宋体"/>
                <w:lang w:val="en-US" w:eastAsia="zh-CN"/>
              </w:rPr>
              <w:t>危废存放间、</w:t>
            </w:r>
            <w:r>
              <w:rPr>
                <w:rFonts w:hint="eastAsia" w:ascii="宋体" w:hAnsi="宋体" w:cs="宋体"/>
                <w:szCs w:val="21"/>
              </w:rPr>
              <w:t>化粪池</w:t>
            </w:r>
            <w:r>
              <w:rPr>
                <w:rFonts w:hint="eastAsia" w:ascii="宋体" w:hAnsi="宋体" w:cs="宋体"/>
                <w:bCs/>
                <w:szCs w:val="21"/>
              </w:rPr>
              <w:t>、灭火器、消防器材、隔音、绿化等。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pPr>
            <w:r>
              <w:t xml:space="preserve">1. </w:t>
            </w:r>
            <w:r>
              <w:rPr>
                <w:rFonts w:hint="eastAsia"/>
              </w:rPr>
              <w:t>针对方针的管理职责评审</w:t>
            </w:r>
          </w:p>
          <w:p>
            <w:pPr>
              <w:spacing w:line="300" w:lineRule="exact"/>
              <w:ind w:left="1"/>
              <w:rPr>
                <w:rFonts w:hint="eastAsia"/>
              </w:rPr>
            </w:pPr>
            <w:r>
              <w:rPr>
                <w:rFonts w:hint="eastAsia"/>
              </w:rPr>
              <w:t>（包括针对组织宗旨，制定相关管理方针政策、确保方针为员工理解并在运营中实施，监视方针的实施并评审方针的适宜性）</w:t>
            </w:r>
          </w:p>
          <w:p>
            <w:pPr>
              <w:pStyle w:val="2"/>
              <w:rPr>
                <w:rFonts w:hint="eastAsia"/>
              </w:rPr>
            </w:pPr>
          </w:p>
          <w:p>
            <w:pPr>
              <w:pStyle w:val="2"/>
            </w:pPr>
            <w:r>
              <w:rPr>
                <w:rFonts w:hint="eastAsia" w:ascii="Times New Roman" w:hAnsi="Times New Roman" w:eastAsia="宋体" w:cs="Times New Roman"/>
                <w:b w:val="0"/>
                <w:bCs w:val="0"/>
                <w:kern w:val="2"/>
                <w:sz w:val="24"/>
                <w:szCs w:val="22"/>
                <w:lang w:val="en-US" w:eastAsia="zh-CN" w:bidi="ar-SA"/>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auto"/>
              <w:ind w:left="159" w:hanging="159" w:hangingChars="79"/>
              <w:rPr>
                <w:rFonts w:ascii="楷体_GB2312" w:eastAsia="楷体_GB2312"/>
                <w:b/>
                <w:color w:val="000000" w:themeColor="text1"/>
                <w:sz w:val="20"/>
                <w:szCs w:val="20"/>
              </w:rPr>
            </w:pPr>
            <w:r>
              <w:rPr>
                <w:rFonts w:hint="eastAsia"/>
                <w:b/>
                <w:color w:val="000000" w:themeColor="text1"/>
                <w:sz w:val="20"/>
                <w:szCs w:val="20"/>
              </w:rPr>
              <w:t>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内部沟通的效果：</w:t>
            </w:r>
            <w:r>
              <w:rPr>
                <w:rFonts w:hint="eastAsia" w:ascii="宋体" w:hAnsi="宋体" w:cs="宋体"/>
                <w:color w:val="000000"/>
                <w:szCs w:val="21"/>
              </w:rPr>
              <w:t>良好</w:t>
            </w:r>
          </w:p>
          <w:p>
            <w:pPr>
              <w:spacing w:line="24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宋体" w:hAnsi="宋体" w:cs="宋体"/>
                <w:szCs w:val="21"/>
              </w:rPr>
              <w:t>总经理负责在公司建立畅通的沟通渠道。管理者代表是公司内部和外部信息交流和沟通的负责人。</w:t>
            </w:r>
            <w:r>
              <w:rPr>
                <w:rFonts w:hint="eastAsia" w:ascii="宋体" w:hAnsi="宋体" w:cs="宋体"/>
                <w:szCs w:val="21"/>
                <w:lang w:val="en-US" w:eastAsia="zh-CN"/>
              </w:rPr>
              <w:t>办公室</w:t>
            </w:r>
            <w:r>
              <w:rPr>
                <w:rFonts w:hint="eastAsia" w:ascii="宋体" w:hAnsi="宋体" w:cs="宋体"/>
                <w:szCs w:val="21"/>
              </w:rPr>
              <w:t>是公司内部和外部信息交流和协商的归口部门。负责与上级主管部门及周边单位的信息交流；负责与管理体系、法律法规等有关的内部和外部信息交流；负责与采购供方、客户等相关方之间的沟通。各部门收集到有关</w:t>
            </w:r>
            <w:r>
              <w:rPr>
                <w:rFonts w:hint="eastAsia" w:ascii="宋体" w:hAnsi="宋体" w:cs="宋体"/>
                <w:szCs w:val="21"/>
                <w:lang w:val="en-US" w:eastAsia="zh-CN"/>
              </w:rPr>
              <w:t>环境</w:t>
            </w:r>
            <w:r>
              <w:rPr>
                <w:rFonts w:hint="eastAsia" w:ascii="宋体" w:hAnsi="宋体" w:cs="宋体"/>
                <w:szCs w:val="21"/>
              </w:rPr>
              <w:t>方面的信息，包括法律法规等，及时向</w:t>
            </w:r>
            <w:r>
              <w:rPr>
                <w:rFonts w:hint="eastAsia" w:ascii="宋体" w:hAnsi="宋体" w:cs="宋体"/>
                <w:szCs w:val="21"/>
                <w:lang w:val="en-US" w:eastAsia="zh-CN"/>
              </w:rPr>
              <w:t>行政部</w:t>
            </w:r>
            <w:r>
              <w:rPr>
                <w:rFonts w:hint="eastAsia" w:ascii="宋体" w:hAnsi="宋体" w:cs="宋体"/>
                <w:szCs w:val="21"/>
              </w:rPr>
              <w:t>反馈。</w:t>
            </w:r>
            <w:r>
              <w:rPr>
                <w:rFonts w:hint="eastAsia" w:ascii="宋体" w:hAnsi="宋体" w:cs="宋体"/>
                <w:szCs w:val="21"/>
                <w:lang w:val="en-US" w:eastAsia="zh-CN"/>
              </w:rPr>
              <w:t>供销部</w:t>
            </w:r>
            <w:r>
              <w:rPr>
                <w:rFonts w:hint="eastAsia" w:ascii="宋体" w:hAnsi="宋体" w:cs="宋体"/>
                <w:szCs w:val="21"/>
              </w:rPr>
              <w:t>负责顾客要求方面的有关事宜的沟通。</w:t>
            </w:r>
          </w:p>
          <w:p>
            <w:pPr>
              <w:spacing w:line="24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宋体" w:hAnsi="宋体"/>
                <w:b/>
                <w:sz w:val="2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auto"/>
              <w:rPr>
                <w:rFonts w:hint="eastAsia" w:ascii="宋体" w:hAnsi="宋体" w:cs="宋体"/>
                <w:color w:val="000000"/>
                <w:szCs w:val="21"/>
              </w:rPr>
            </w:pPr>
            <w:r>
              <w:rPr>
                <w:rFonts w:hint="eastAsia"/>
                <w:b/>
                <w:color w:val="000000" w:themeColor="text1"/>
                <w:sz w:val="20"/>
                <w:szCs w:val="20"/>
              </w:rPr>
              <w:t>3</w:t>
            </w:r>
            <w:r>
              <w:rPr>
                <w:rFonts w:hint="eastAsia"/>
                <w:b/>
                <w:color w:val="000000" w:themeColor="text1"/>
                <w:sz w:val="20"/>
                <w:szCs w:val="20"/>
                <w:highlight w:val="yellow"/>
              </w:rPr>
              <w:t>.</w:t>
            </w:r>
            <w:r>
              <w:rPr>
                <w:rFonts w:hint="eastAsia" w:ascii="宋体" w:hAnsi="宋体" w:cs="宋体"/>
                <w:b/>
                <w:bCs/>
                <w:color w:val="000000"/>
                <w:szCs w:val="21"/>
              </w:rPr>
              <w:t xml:space="preserve">  QMS 组织对重要过程实施控制的结果</w:t>
            </w:r>
          </w:p>
          <w:p>
            <w:pPr>
              <w:spacing w:line="240" w:lineRule="auto"/>
              <w:rPr>
                <w:rFonts w:hint="eastAsia" w:ascii="宋体" w:hAnsi="宋体" w:cs="宋体"/>
                <w:color w:val="000000"/>
                <w:szCs w:val="21"/>
              </w:rPr>
            </w:pPr>
            <w:r>
              <w:rPr>
                <w:rFonts w:hint="eastAsia" w:ascii="宋体" w:hAnsi="宋体" w:cs="宋体"/>
                <w:color w:val="000000"/>
                <w:szCs w:val="21"/>
              </w:rPr>
              <w:t>(包括对QMS关键工序(过程)、特殊过程控制;评价组织对过程实施控制情况/)</w:t>
            </w:r>
          </w:p>
          <w:p>
            <w:pPr>
              <w:spacing w:line="240" w:lineRule="auto"/>
              <w:rPr>
                <w:rFonts w:ascii="宋体" w:hAnsi="宋体"/>
                <w:b/>
                <w:sz w:val="21"/>
                <w:szCs w:val="21"/>
              </w:rPr>
            </w:pPr>
            <w:r>
              <w:rPr>
                <w:rFonts w:hint="eastAsia" w:ascii="宋体" w:hAnsi="宋体" w:cs="宋体"/>
                <w:color w:val="000000"/>
                <w:szCs w:val="21"/>
              </w:rPr>
              <w:t xml:space="preserve">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w:t>
            </w:r>
            <w:r>
              <w:rPr>
                <w:rFonts w:hint="eastAsia" w:ascii="宋体" w:hAnsi="宋体" w:cs="宋体"/>
                <w:color w:val="000000"/>
                <w:szCs w:val="21"/>
                <w:lang w:val="en-US" w:eastAsia="zh-CN"/>
              </w:rPr>
              <w:t>企业产品单一，客户固定，无关键工序和特殊过程，</w:t>
            </w:r>
            <w:r>
              <w:rPr>
                <w:rFonts w:hint="eastAsia"/>
                <w:sz w:val="20"/>
              </w:rPr>
              <w:t>能力</w:t>
            </w:r>
            <w:r>
              <w:rPr>
                <w:rFonts w:hint="eastAsia"/>
                <w:sz w:val="20"/>
                <w:lang w:val="en-US" w:eastAsia="zh-CN"/>
              </w:rPr>
              <w:t>满足</w:t>
            </w:r>
            <w:r>
              <w:rPr>
                <w:rFonts w:hint="eastAsia"/>
                <w:sz w:val="2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auto"/>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auto"/>
              <w:ind w:firstLine="48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auto"/>
              <w:rPr>
                <w:b w:val="0"/>
                <w:bCs/>
                <w:color w:val="000000" w:themeColor="text1"/>
                <w:sz w:val="20"/>
                <w:szCs w:val="20"/>
              </w:rPr>
            </w:pPr>
            <w:r>
              <w:rPr>
                <w:rFonts w:hint="eastAsia"/>
                <w:b w:val="0"/>
                <w:bCs/>
                <w:color w:val="000000" w:themeColor="text1"/>
                <w:sz w:val="20"/>
                <w:szCs w:val="20"/>
              </w:rPr>
              <w:t>(应说明相关证据)：检验标准、检验记录等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r>
              <w:rPr>
                <w:rFonts w:hint="eastAsia"/>
                <w:b/>
                <w:color w:val="000000" w:themeColor="text1"/>
                <w:sz w:val="20"/>
                <w:szCs w:val="20"/>
              </w:rPr>
              <w:t>无</w:t>
            </w:r>
          </w:p>
          <w:p>
            <w:pPr>
              <w:spacing w:line="240" w:lineRule="exact"/>
              <w:rPr>
                <w:b/>
                <w:color w:val="000000" w:themeColor="text1"/>
                <w:sz w:val="20"/>
                <w:szCs w:val="20"/>
              </w:rPr>
            </w:pPr>
          </w:p>
          <w:p>
            <w:pPr>
              <w:spacing w:line="300" w:lineRule="exact"/>
              <w:ind w:firstLine="197" w:firstLineChars="98"/>
              <w:rPr>
                <w:rFonts w:ascii="宋体" w:hAnsi="宋体"/>
                <w:b/>
                <w:sz w:val="21"/>
                <w:szCs w:val="21"/>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auto"/>
              <w:rPr>
                <w:rFonts w:ascii="宋体" w:hAnsi="宋体"/>
                <w:b/>
                <w:sz w:val="21"/>
                <w:szCs w:val="21"/>
              </w:rPr>
            </w:pPr>
            <w:r>
              <w:rPr>
                <w:rFonts w:hint="eastAsia" w:ascii="宋体" w:hAnsi="宋体" w:cs="宋体"/>
                <w:color w:val="000000"/>
                <w:szCs w:val="21"/>
              </w:rPr>
              <w:t>远程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auto"/>
              <w:rPr>
                <w:b/>
                <w:color w:val="000000"/>
                <w:sz w:val="20"/>
              </w:rPr>
            </w:pPr>
            <w:r>
              <w:rPr>
                <w:rFonts w:hint="eastAsia"/>
                <w:b/>
                <w:color w:val="000000"/>
                <w:sz w:val="20"/>
              </w:rPr>
              <w:t>7. EMS组织对重要环境因素实施控制的结果</w:t>
            </w:r>
          </w:p>
          <w:p>
            <w:pPr>
              <w:spacing w:line="240" w:lineRule="auto"/>
              <w:rPr>
                <w:b/>
                <w:color w:val="000000"/>
                <w:sz w:val="20"/>
              </w:rPr>
            </w:pPr>
            <w:r>
              <w:rPr>
                <w:rFonts w:hint="eastAsia"/>
                <w:b/>
                <w:color w:val="000000"/>
                <w:sz w:val="20"/>
              </w:rPr>
              <w:t>（EMS对重要环境因素控制，重大环境因素对周边环境产生的影响及控制;对相关方施加影响）</w:t>
            </w:r>
          </w:p>
          <w:p>
            <w:pPr>
              <w:spacing w:line="240" w:lineRule="auto"/>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一、</w:t>
            </w:r>
            <w:r>
              <w:rPr>
                <w:rFonts w:hint="eastAsia" w:cs="宋体" w:asciiTheme="minorEastAsia" w:hAnsiTheme="minorEastAsia" w:eastAsiaTheme="minorEastAsia"/>
                <w:szCs w:val="21"/>
              </w:rPr>
              <w:t>废水管控：</w:t>
            </w:r>
          </w:p>
          <w:p>
            <w:pPr>
              <w:spacing w:line="240" w:lineRule="auto"/>
              <w:ind w:firstLine="421"/>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本公司生产工艺废水主要为中频炉的冷却水，建有循环冷却水池用水，冷却水循环使用不外排。</w:t>
            </w:r>
          </w:p>
          <w:p>
            <w:pPr>
              <w:spacing w:line="240" w:lineRule="auto"/>
              <w:ind w:firstLine="421"/>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厕所污水经化粪池处理后由当地村民清掏用于肥田。职工洗手产生量极少，主要用于滚筒冷却和场地酒水。</w:t>
            </w:r>
          </w:p>
          <w:p>
            <w:pPr>
              <w:numPr>
                <w:ilvl w:val="0"/>
                <w:numId w:val="2"/>
              </w:numPr>
              <w:spacing w:line="240" w:lineRule="auto"/>
              <w:ind w:firstLine="48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废气管控：</w:t>
            </w:r>
          </w:p>
          <w:p>
            <w:pPr>
              <w:numPr>
                <w:ilvl w:val="0"/>
                <w:numId w:val="0"/>
              </w:numPr>
              <w:spacing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      1.有组织排放废气</w:t>
            </w:r>
          </w:p>
          <w:p>
            <w:pPr>
              <w:numPr>
                <w:ilvl w:val="0"/>
                <w:numId w:val="0"/>
              </w:numPr>
              <w:spacing w:line="240" w:lineRule="auto"/>
              <w:ind w:firstLine="48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浇注工艺过程中产生的有机废气通过真空管道抽走，经活性炭吸附后由15米高排气筒排放。中频电炉在熔化原料过程中所产生的烟气成分主要为颗粒物，经集气罩收集，通过布袋除尘器由15米高排气筒排放</w:t>
            </w:r>
          </w:p>
          <w:p>
            <w:pPr>
              <w:numPr>
                <w:ilvl w:val="0"/>
                <w:numId w:val="0"/>
              </w:numPr>
              <w:spacing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落砂及砂处理过程所产生的粉尘，经集气罩收集，通过布袋除尘器由15米高排气筒排放。</w:t>
            </w:r>
          </w:p>
          <w:p>
            <w:pPr>
              <w:numPr>
                <w:ilvl w:val="0"/>
                <w:numId w:val="0"/>
              </w:numPr>
              <w:spacing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抛丸机在进行抛光处理过程中产生的粉尘，由风机直接抽入布袋除尘器处</w:t>
            </w:r>
          </w:p>
          <w:p>
            <w:pPr>
              <w:numPr>
                <w:ilvl w:val="0"/>
                <w:numId w:val="0"/>
              </w:numPr>
              <w:spacing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理后经15米高排气筒排放。</w:t>
            </w:r>
          </w:p>
          <w:p>
            <w:pPr>
              <w:numPr>
                <w:ilvl w:val="0"/>
                <w:numId w:val="0"/>
              </w:numPr>
              <w:spacing w:line="240" w:lineRule="auto"/>
              <w:ind w:firstLine="720" w:firstLineChars="3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2.无组织排放废气</w:t>
            </w:r>
          </w:p>
          <w:p>
            <w:pPr>
              <w:numPr>
                <w:ilvl w:val="0"/>
                <w:numId w:val="0"/>
              </w:numPr>
              <w:spacing w:line="240" w:lineRule="auto"/>
              <w:ind w:firstLine="48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无组织排放有机废气主要来源于制模车间外购聚苯乙烯模型逸散出的非甲烷总烃，粉尘主要来自砂处理系统、铸造、机加过程中的扬尘和少量粉尘逸散，</w:t>
            </w:r>
          </w:p>
          <w:p>
            <w:pPr>
              <w:numPr>
                <w:ilvl w:val="0"/>
                <w:numId w:val="0"/>
              </w:numPr>
              <w:spacing w:line="240" w:lineRule="auto"/>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(三)噪声以及车间通过通风系统排向环境的粉尘。</w:t>
            </w:r>
          </w:p>
          <w:p>
            <w:pPr>
              <w:numPr>
                <w:ilvl w:val="0"/>
                <w:numId w:val="0"/>
              </w:numPr>
              <w:spacing w:line="240" w:lineRule="auto"/>
              <w:ind w:firstLine="48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公司</w:t>
            </w:r>
            <w:r>
              <w:rPr>
                <w:rFonts w:hint="default" w:cs="宋体" w:asciiTheme="minorEastAsia" w:hAnsiTheme="minorEastAsia" w:eastAsiaTheme="minorEastAsia"/>
                <w:szCs w:val="21"/>
                <w:lang w:val="en-US" w:eastAsia="zh-CN"/>
              </w:rPr>
              <w:t>噪声主要为设备运行过程中产生的噪声和偶发性噪声，包括涂料搅拌机、中频电炉、天车、抛丸机、振实台、造型系统和机加设备。通过选用低噪声设备、加强设备维护、提高设备润滑度等措施来降低噪声对周围环境的影响。</w:t>
            </w:r>
          </w:p>
          <w:p>
            <w:pPr>
              <w:numPr>
                <w:ilvl w:val="0"/>
                <w:numId w:val="0"/>
              </w:numPr>
              <w:spacing w:line="240" w:lineRule="auto"/>
              <w:rPr>
                <w:rFonts w:hint="default"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(四)固体废物</w:t>
            </w:r>
          </w:p>
          <w:p>
            <w:pPr>
              <w:numPr>
                <w:ilvl w:val="0"/>
                <w:numId w:val="0"/>
              </w:numPr>
              <w:spacing w:line="240" w:lineRule="auto"/>
              <w:ind w:firstLine="480" w:firstLineChars="200"/>
              <w:rPr>
                <w:rFonts w:hint="default"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该项目一般固废主要来源是中频炉渣、废铁屑、废砂、除尘灰渣、金属屑、氧化皮及残次品等。生活垃圾交由当地环卫部门统一清运。危险废物主要来源于设备维修产生的废切削液、废润滑油(HW08)和浇注工序吸附有机废气所产生的废活性炭(HWO6)定期交由有资质的单位回收(签有危废回收协议)</w:t>
            </w:r>
          </w:p>
          <w:p>
            <w:pPr>
              <w:numPr>
                <w:ilvl w:val="0"/>
                <w:numId w:val="0"/>
              </w:numPr>
              <w:spacing w:line="240" w:lineRule="auto"/>
              <w:rPr>
                <w:rFonts w:ascii="宋体" w:hAnsi="宋体"/>
                <w:szCs w:val="22"/>
                <w:u w:val="none"/>
              </w:rPr>
            </w:pPr>
            <w:r>
              <w:rPr>
                <w:rFonts w:hint="eastAsia" w:ascii="宋体" w:hAnsi="宋体"/>
                <w:szCs w:val="22"/>
                <w:u w:val="none"/>
                <w:lang w:eastAsia="zh-CN"/>
              </w:rPr>
              <w:t>（</w:t>
            </w:r>
            <w:r>
              <w:rPr>
                <w:rFonts w:hint="eastAsia" w:ascii="宋体" w:hAnsi="宋体"/>
                <w:szCs w:val="22"/>
                <w:u w:val="none"/>
                <w:lang w:val="en-US" w:eastAsia="zh-CN"/>
              </w:rPr>
              <w:t>五</w:t>
            </w:r>
            <w:r>
              <w:rPr>
                <w:rFonts w:hint="eastAsia" w:ascii="宋体" w:hAnsi="宋体"/>
                <w:szCs w:val="22"/>
                <w:u w:val="none"/>
                <w:lang w:eastAsia="zh-CN"/>
              </w:rPr>
              <w:t>）</w:t>
            </w:r>
            <w:r>
              <w:rPr>
                <w:rFonts w:hint="eastAsia" w:ascii="宋体" w:hAnsi="宋体"/>
                <w:szCs w:val="22"/>
                <w:u w:val="none"/>
              </w:rPr>
              <w:t>能源资源管控：</w:t>
            </w:r>
          </w:p>
          <w:p>
            <w:pPr>
              <w:spacing w:line="240" w:lineRule="auto"/>
              <w:ind w:firstLine="480" w:firstLineChars="200"/>
              <w:rPr>
                <w:rFonts w:ascii="宋体" w:hAnsi="宋体"/>
                <w:szCs w:val="22"/>
                <w:u w:val="none"/>
              </w:rPr>
            </w:pPr>
            <w:r>
              <w:rPr>
                <w:rFonts w:hint="eastAsia" w:ascii="宋体" w:hAnsi="宋体"/>
                <w:szCs w:val="22"/>
                <w:u w:val="none"/>
              </w:rPr>
              <w:t>注意节水、节电、节约塑料颗粒的试验，人走关闭设备和照明开关，现场未发现有漏水和浪费电能的现象。</w:t>
            </w:r>
          </w:p>
          <w:p>
            <w:pPr>
              <w:spacing w:line="240" w:lineRule="auto"/>
              <w:rPr>
                <w:rFonts w:ascii="宋体" w:hAnsi="宋体"/>
                <w:szCs w:val="22"/>
                <w:u w:val="none"/>
              </w:rPr>
            </w:pPr>
            <w:r>
              <w:rPr>
                <w:rFonts w:hint="eastAsia" w:ascii="宋体" w:hAnsi="宋体"/>
                <w:szCs w:val="22"/>
                <w:u w:val="none"/>
                <w:lang w:eastAsia="zh-CN"/>
              </w:rPr>
              <w:t>（</w:t>
            </w:r>
            <w:r>
              <w:rPr>
                <w:rFonts w:hint="eastAsia" w:ascii="宋体" w:hAnsi="宋体"/>
                <w:szCs w:val="22"/>
                <w:u w:val="none"/>
                <w:lang w:val="en-US" w:eastAsia="zh-CN"/>
              </w:rPr>
              <w:t>六</w:t>
            </w:r>
            <w:r>
              <w:rPr>
                <w:rFonts w:hint="eastAsia" w:ascii="宋体" w:hAnsi="宋体"/>
                <w:szCs w:val="22"/>
                <w:u w:val="none"/>
                <w:lang w:eastAsia="zh-CN"/>
              </w:rPr>
              <w:t>）</w:t>
            </w:r>
            <w:r>
              <w:rPr>
                <w:rFonts w:hint="eastAsia" w:ascii="宋体" w:hAnsi="宋体"/>
                <w:szCs w:val="22"/>
                <w:u w:val="none"/>
              </w:rPr>
              <w:t>产品生命周期的环境管控：</w:t>
            </w:r>
          </w:p>
          <w:p>
            <w:pPr>
              <w:spacing w:line="240" w:lineRule="auto"/>
              <w:ind w:firstLine="421" w:firstLineChars="0"/>
              <w:rPr>
                <w:rFonts w:ascii="宋体" w:hAnsi="宋体"/>
                <w:b/>
                <w:sz w:val="21"/>
                <w:szCs w:val="21"/>
              </w:rPr>
            </w:pPr>
            <w:r>
              <w:rPr>
                <w:rFonts w:hint="eastAsia" w:ascii="宋体" w:hAnsi="宋体"/>
                <w:szCs w:val="22"/>
                <w:u w:val="none"/>
              </w:rPr>
              <w:t>公司采购产品时已考虑了产品的环保性，严格按照环保等管理制度实施，控制好辅助材料的用量，避免浪费，生命周期终了时废旧塑料还可以回收再利用。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ind w:firstLine="480" w:firstLineChars="200"/>
              <w:rPr>
                <w:rFonts w:ascii="宋体" w:cs="宋体"/>
                <w:szCs w:val="21"/>
                <w:lang w:val="en-GB"/>
              </w:rPr>
            </w:pPr>
            <w:r>
              <w:rPr>
                <w:rFonts w:hint="eastAsia" w:ascii="宋体" w:hAnsi="宋体" w:cs="宋体"/>
                <w:szCs w:val="21"/>
                <w:lang w:val="en-GB"/>
              </w:rPr>
              <w:t>制定了《应急准备和响应控制程序》，编制了火灾</w:t>
            </w:r>
            <w:r>
              <w:rPr>
                <w:rFonts w:hint="eastAsia" w:ascii="宋体" w:hAnsi="宋体" w:cs="宋体"/>
                <w:szCs w:val="21"/>
                <w:lang w:val="en-US" w:eastAsia="zh-CN"/>
              </w:rPr>
              <w:t>专项</w:t>
            </w:r>
            <w:r>
              <w:rPr>
                <w:rFonts w:hint="eastAsia" w:ascii="宋体" w:hAnsi="宋体" w:cs="宋体"/>
                <w:szCs w:val="21"/>
                <w:lang w:val="en-GB"/>
              </w:rPr>
              <w:t>应急预案，包含有事件级别及不同级别事件的处理程序、事件处理组织机构及职责分工、通用及特殊处理程序、各岗位要求等。具有可操作性。</w:t>
            </w:r>
          </w:p>
          <w:p>
            <w:pPr>
              <w:ind w:firstLine="480" w:firstLineChars="200"/>
              <w:rPr>
                <w:rFonts w:ascii="宋体" w:hAnsi="宋体"/>
                <w:b/>
                <w:sz w:val="21"/>
                <w:szCs w:val="21"/>
              </w:rPr>
            </w:pPr>
            <w:r>
              <w:rPr>
                <w:rFonts w:hint="eastAsia" w:ascii="宋体" w:hAnsi="宋体" w:cs="宋体"/>
                <w:szCs w:val="21"/>
              </w:rPr>
              <w:t>定期记录应急预案的演练，</w:t>
            </w:r>
            <w:r>
              <w:rPr>
                <w:rFonts w:hint="eastAsia" w:ascii="宋体" w:hAnsi="宋体" w:cs="宋体"/>
                <w:szCs w:val="21"/>
                <w:lang w:val="en-GB"/>
              </w:rPr>
              <w:t>应急演练后对应急预案进行了评审，应急预案不重要修订。</w:t>
            </w:r>
            <w:r>
              <w:rPr>
                <w:rFonts w:hint="eastAsia" w:ascii="宋体" w:hAnsi="宋体" w:cs="宋体"/>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szCs w:val="20"/>
              </w:rPr>
            </w:pPr>
            <w:r>
              <w:rPr>
                <w:b/>
                <w:color w:val="000000"/>
                <w:sz w:val="20"/>
                <w:szCs w:val="20"/>
              </w:rPr>
              <w:t xml:space="preserve">10. </w:t>
            </w:r>
            <w:r>
              <w:rPr>
                <w:rFonts w:hint="eastAsia"/>
                <w:b/>
                <w:sz w:val="20"/>
                <w:szCs w:val="20"/>
              </w:rPr>
              <w:t>对特种设备的维护，检定</w:t>
            </w:r>
            <w:r>
              <w:rPr>
                <w:b/>
                <w:sz w:val="20"/>
                <w:szCs w:val="20"/>
              </w:rPr>
              <w:t xml:space="preserve">; </w:t>
            </w:r>
          </w:p>
          <w:p>
            <w:pPr>
              <w:spacing w:line="240" w:lineRule="exact"/>
              <w:ind w:firstLine="392" w:firstLineChars="196"/>
              <w:rPr>
                <w:rFonts w:ascii="宋体" w:hAnsi="宋体"/>
                <w:b/>
                <w:sz w:val="21"/>
                <w:szCs w:val="21"/>
              </w:rPr>
            </w:pPr>
            <w:r>
              <w:rPr>
                <w:rFonts w:hint="eastAsia"/>
                <w:color w:val="000000"/>
                <w:sz w:val="20"/>
                <w:szCs w:val="20"/>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ind w:firstLine="392" w:firstLineChars="196"/>
              <w:rPr>
                <w:rFonts w:ascii="宋体" w:hAnsi="宋体"/>
                <w:b/>
                <w:sz w:val="21"/>
                <w:szCs w:val="21"/>
              </w:rPr>
            </w:pPr>
            <w:r>
              <w:rPr>
                <w:color w:val="000000"/>
                <w:sz w:val="20"/>
                <w:szCs w:val="20"/>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auto"/>
              <w:ind w:firstLine="120" w:firstLineChars="50"/>
              <w:rPr>
                <w:rFonts w:ascii="宋体" w:hAnsi="宋体"/>
                <w:b/>
                <w:sz w:val="21"/>
                <w:szCs w:val="21"/>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themeColor="text1"/>
                <w:szCs w:val="21"/>
              </w:rPr>
              <w:t>。通</w:t>
            </w:r>
            <w:r>
              <w:rPr>
                <w:rFonts w:hint="eastAsia" w:ascii="宋体" w:hAnsi="宋体" w:cs="宋体"/>
                <w:color w:val="000000"/>
                <w:szCs w:val="21"/>
              </w:rPr>
              <w:t>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-12月目标的</w:t>
            </w:r>
            <w:r>
              <w:rPr>
                <w:rFonts w:hint="eastAsia" w:ascii="宋体" w:hAnsi="宋体" w:cs="宋体"/>
                <w:color w:val="000000" w:themeColor="text1"/>
                <w:szCs w:val="21"/>
              </w:rPr>
              <w:t>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auto"/>
              <w:ind w:left="100" w:hanging="100" w:hangingChars="50"/>
              <w:jc w:val="left"/>
              <w:rPr>
                <w:b/>
                <w:color w:val="000000" w:themeColor="text1"/>
                <w:sz w:val="20"/>
                <w:szCs w:val="20"/>
              </w:rPr>
            </w:pPr>
            <w:r>
              <w:rPr>
                <w:rFonts w:hint="eastAsia"/>
                <w:b/>
                <w:color w:val="000000" w:themeColor="text1"/>
                <w:sz w:val="20"/>
                <w:szCs w:val="20"/>
              </w:rPr>
              <w:t>2.顾客满意</w:t>
            </w:r>
          </w:p>
          <w:p>
            <w:pPr>
              <w:spacing w:line="240" w:lineRule="auto"/>
              <w:ind w:left="120" w:leftChars="0" w:hanging="120" w:hangingChars="50"/>
              <w:jc w:val="left"/>
              <w:rPr>
                <w:rFonts w:ascii="宋体" w:hAnsi="宋体"/>
                <w:b/>
                <w:sz w:val="21"/>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公司建立了顾客满意度监视和测量控制程序，对顾客投诉处理及顾客满意度评价做了明确的规定，并按规定对顾客反馈及时处理。近年来未发生重大顾客投诉和产品质量事故。顾客满意度调查按规定实施</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年12月实施，满意度评价达</w:t>
            </w:r>
            <w:r>
              <w:rPr>
                <w:rFonts w:hint="eastAsia" w:ascii="宋体" w:hAnsi="宋体" w:cs="宋体"/>
                <w:color w:val="000000" w:themeColor="text1"/>
                <w:szCs w:val="21"/>
                <w:lang w:val="en-US" w:eastAsia="zh-CN"/>
              </w:rPr>
              <w:t>96</w:t>
            </w:r>
            <w:r>
              <w:rPr>
                <w:rFonts w:hint="eastAsia" w:ascii="宋体" w:hAnsi="宋体" w:cs="宋体"/>
                <w:color w:val="000000" w:themeColor="text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auto"/>
              <w:rPr>
                <w:b/>
                <w:color w:val="000000" w:themeColor="text1"/>
                <w:spacing w:val="-8"/>
                <w:sz w:val="20"/>
                <w:szCs w:val="20"/>
              </w:rPr>
            </w:pPr>
            <w:r>
              <w:rPr>
                <w:rFonts w:hint="eastAsia"/>
                <w:b/>
                <w:color w:val="000000" w:themeColor="text1"/>
                <w:sz w:val="20"/>
                <w:szCs w:val="20"/>
              </w:rPr>
              <w:t>3. 内审（包括内审策划审核方案中考虑拟审核的过程和区域的状况和重要性）</w:t>
            </w:r>
          </w:p>
          <w:p>
            <w:pPr>
              <w:spacing w:line="240" w:lineRule="auto"/>
              <w:ind w:firstLine="480" w:firstLineChars="200"/>
              <w:rPr>
                <w:rFonts w:ascii="宋体" w:hAnsi="宋体"/>
                <w:b/>
                <w:sz w:val="21"/>
                <w:szCs w:val="21"/>
              </w:rPr>
            </w:pPr>
            <w:r>
              <w:rPr>
                <w:rFonts w:hint="eastAsia" w:ascii="宋体" w:hAnsi="宋体" w:cs="宋体"/>
                <w:szCs w:val="21"/>
              </w:rPr>
              <w:t>建立有《内部审核控制程序》，规定了内审频次一年一次，内审时间：</w:t>
            </w:r>
            <w:r>
              <w:rPr>
                <w:rFonts w:hint="eastAsia"/>
                <w:szCs w:val="21"/>
              </w:rPr>
              <w:t>20</w:t>
            </w:r>
            <w:r>
              <w:rPr>
                <w:rFonts w:hint="eastAsia"/>
                <w:szCs w:val="21"/>
                <w:lang w:val="en-US" w:eastAsia="zh-CN"/>
              </w:rPr>
              <w:t>20</w:t>
            </w:r>
            <w:r>
              <w:rPr>
                <w:rFonts w:hint="eastAsia"/>
                <w:szCs w:val="21"/>
              </w:rPr>
              <w:t>年12月</w:t>
            </w:r>
            <w:r>
              <w:rPr>
                <w:rFonts w:hint="eastAsia"/>
                <w:szCs w:val="21"/>
                <w:lang w:val="en-US" w:eastAsia="zh-CN"/>
              </w:rPr>
              <w:t>7</w:t>
            </w:r>
            <w:r>
              <w:rPr>
                <w:rFonts w:hint="eastAsia"/>
                <w:szCs w:val="21"/>
              </w:rPr>
              <w:t>日-</w:t>
            </w:r>
            <w:r>
              <w:rPr>
                <w:rFonts w:hint="eastAsia"/>
                <w:szCs w:val="21"/>
                <w:lang w:val="en-US" w:eastAsia="zh-CN"/>
              </w:rPr>
              <w:t>8</w:t>
            </w:r>
            <w:r>
              <w:rPr>
                <w:rFonts w:hint="eastAsia"/>
                <w:szCs w:val="21"/>
              </w:rPr>
              <w:t>日</w:t>
            </w:r>
            <w:r>
              <w:rPr>
                <w:rFonts w:hint="eastAsia" w:ascii="宋体" w:hAnsi="宋体" w:cs="宋体"/>
                <w:szCs w:val="21"/>
              </w:rPr>
              <w:t>，拟定了审核计划，明确了内审范围，内审人员经</w:t>
            </w:r>
            <w:r>
              <w:rPr>
                <w:rFonts w:hint="eastAsia"/>
                <w:szCs w:val="21"/>
              </w:rPr>
              <w:t>培训合格上岗，能力满足要求，未出现审核本部门情况，内审不符合项</w:t>
            </w:r>
            <w:r>
              <w:rPr>
                <w:rFonts w:hint="eastAsia"/>
                <w:szCs w:val="21"/>
                <w:lang w:val="en-US" w:eastAsia="zh-CN"/>
              </w:rPr>
              <w:t>1</w:t>
            </w:r>
            <w:r>
              <w:rPr>
                <w:rFonts w:hint="eastAsia"/>
                <w:szCs w:val="21"/>
              </w:rPr>
              <w:t>项，涉及</w:t>
            </w:r>
            <w:r>
              <w:rPr>
                <w:rFonts w:hint="eastAsia"/>
                <w:szCs w:val="21"/>
                <w:lang w:val="en-US" w:eastAsia="zh-CN"/>
              </w:rPr>
              <w:t>供销</w:t>
            </w:r>
            <w:r>
              <w:rPr>
                <w:rFonts w:hint="eastAsia"/>
                <w:szCs w:val="21"/>
              </w:rPr>
              <w:t>部</w:t>
            </w:r>
            <w:r>
              <w:rPr>
                <w:rFonts w:hint="eastAsia"/>
                <w:szCs w:val="21"/>
                <w:lang w:val="en-US" w:eastAsia="zh-CN"/>
              </w:rPr>
              <w:t>6.1.3</w:t>
            </w:r>
            <w:r>
              <w:rPr>
                <w:rFonts w:hint="eastAsia"/>
                <w:szCs w:val="21"/>
              </w:rPr>
              <w:t>条款，针对该</w:t>
            </w:r>
            <w:r>
              <w:rPr>
                <w:rFonts w:hint="eastAsia"/>
                <w:szCs w:val="21"/>
                <w:lang w:val="en-US" w:eastAsia="zh-CN"/>
              </w:rPr>
              <w:t>1</w:t>
            </w:r>
            <w:r>
              <w:rPr>
                <w:rFonts w:hint="eastAsia"/>
                <w:szCs w:val="21"/>
              </w:rPr>
              <w:t>不符合项，已及时采取纠正措施后，经内审员验证关闭。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auto"/>
              <w:rPr>
                <w:b/>
                <w:color w:val="000000" w:themeColor="text1"/>
                <w:sz w:val="20"/>
                <w:szCs w:val="20"/>
              </w:rPr>
            </w:pPr>
            <w:r>
              <w:rPr>
                <w:rFonts w:hint="eastAsia"/>
                <w:b/>
                <w:color w:val="000000" w:themeColor="text1"/>
                <w:sz w:val="20"/>
                <w:szCs w:val="20"/>
              </w:rPr>
              <w:t>4.管理评审（管理评审体系变更需求，纠正和预防措施、体系有效性等）</w:t>
            </w:r>
          </w:p>
          <w:p>
            <w:r>
              <w:rPr>
                <w:rFonts w:hint="eastAsia" w:ascii="宋体" w:hAnsi="宋体" w:cs="宋体"/>
                <w:szCs w:val="21"/>
              </w:rPr>
              <w:t>管理评审频次为一年一次、本次管理评审于</w:t>
            </w:r>
            <w:r>
              <w:rPr>
                <w:rFonts w:hint="eastAsia" w:ascii="宋体" w:hAnsi="宋体"/>
                <w:kern w:val="0"/>
                <w:szCs w:val="21"/>
              </w:rPr>
              <w:t>202</w:t>
            </w:r>
            <w:r>
              <w:rPr>
                <w:rFonts w:hint="eastAsia" w:ascii="宋体" w:hAnsi="宋体"/>
                <w:kern w:val="0"/>
                <w:szCs w:val="21"/>
                <w:lang w:val="en-US" w:eastAsia="zh-CN"/>
              </w:rPr>
              <w:t>1</w:t>
            </w:r>
            <w:r>
              <w:rPr>
                <w:rFonts w:hint="eastAsia" w:ascii="宋体" w:hAnsi="宋体"/>
                <w:kern w:val="0"/>
                <w:szCs w:val="21"/>
              </w:rPr>
              <w:t>年1月</w:t>
            </w:r>
            <w:r>
              <w:rPr>
                <w:rFonts w:hint="eastAsia" w:ascii="宋体" w:hAnsi="宋体"/>
                <w:kern w:val="0"/>
                <w:szCs w:val="21"/>
                <w:lang w:val="en-US" w:eastAsia="zh-CN"/>
              </w:rPr>
              <w:t>8</w:t>
            </w:r>
            <w:r>
              <w:rPr>
                <w:rFonts w:hint="eastAsia" w:ascii="宋体" w:hAnsi="宋体"/>
                <w:kern w:val="0"/>
                <w:szCs w:val="21"/>
              </w:rPr>
              <w:t>日</w:t>
            </w:r>
            <w:r>
              <w:rPr>
                <w:rFonts w:hint="eastAsia" w:ascii="宋体" w:hAnsi="宋体" w:cs="宋体"/>
                <w:szCs w:val="21"/>
              </w:rPr>
              <w:t>由总经理主持完成、提供主要输入材料有各部门总结，输入信息基本充分和满足要求。</w:t>
            </w:r>
            <w:r>
              <w:rPr>
                <w:rFonts w:hint="eastAsia"/>
              </w:rPr>
              <w:t>评审结论：</w:t>
            </w:r>
            <w:r>
              <w:rPr>
                <w:rFonts w:hint="eastAsia"/>
                <w:szCs w:val="21"/>
              </w:rPr>
              <w:t>自体系建立以来，</w:t>
            </w:r>
            <w:r>
              <w:rPr>
                <w:rFonts w:hint="eastAsia"/>
                <w:lang w:eastAsia="zh-CN"/>
              </w:rPr>
              <w:t>质量、环境</w:t>
            </w:r>
            <w:r>
              <w:rPr>
                <w:rFonts w:hint="eastAsia"/>
              </w:rPr>
              <w:t>体系基本是适宜、充分和有效的，基本上达到了预期的效果，具有自我完善的能力，</w:t>
            </w:r>
            <w:r>
              <w:rPr>
                <w:rFonts w:hint="eastAsia"/>
                <w:lang w:eastAsia="zh-CN"/>
              </w:rPr>
              <w:t>质量、环境</w:t>
            </w:r>
            <w:r>
              <w:rPr>
                <w:rFonts w:hint="eastAsia"/>
              </w:rPr>
              <w:t>管理体系的过程基本上包含了公司</w:t>
            </w:r>
            <w:r>
              <w:rPr>
                <w:rFonts w:hint="eastAsia"/>
                <w:lang w:eastAsia="zh-CN"/>
              </w:rPr>
              <w:t>质量、环境</w:t>
            </w:r>
            <w:r>
              <w:rPr>
                <w:rFonts w:hint="eastAsia"/>
              </w:rPr>
              <w:t>管理的方方面面，</w:t>
            </w:r>
            <w:r>
              <w:rPr>
                <w:rFonts w:hint="eastAsia"/>
                <w:lang w:eastAsia="zh-CN"/>
              </w:rPr>
              <w:t>质量、环境</w:t>
            </w:r>
            <w:r>
              <w:rPr>
                <w:rFonts w:hint="eastAsia"/>
              </w:rPr>
              <w:t>方针和</w:t>
            </w:r>
            <w:r>
              <w:rPr>
                <w:rFonts w:hint="eastAsia"/>
                <w:lang w:eastAsia="zh-CN"/>
              </w:rPr>
              <w:t>质量、环境</w:t>
            </w:r>
            <w:r>
              <w:rPr>
                <w:rFonts w:hint="eastAsia"/>
              </w:rPr>
              <w:t>目标也是适宜的，产品</w:t>
            </w:r>
            <w:r>
              <w:rPr>
                <w:rFonts w:hint="eastAsia"/>
                <w:lang w:eastAsia="zh-CN"/>
              </w:rPr>
              <w:t>质量、环境</w:t>
            </w:r>
            <w:r>
              <w:rPr>
                <w:rFonts w:hint="eastAsia"/>
              </w:rPr>
              <w:t>在逐步提高，人力资源和设备的配备基本上能满足产品要求</w:t>
            </w:r>
            <w:r>
              <w:t>,</w:t>
            </w:r>
            <w:r>
              <w:rPr>
                <w:rFonts w:hint="eastAsia"/>
              </w:rPr>
              <w:t>在人力资源管理方面还需加强。</w:t>
            </w:r>
          </w:p>
          <w:p>
            <w:pPr>
              <w:rPr>
                <w:rFonts w:ascii="宋体" w:hAnsi="宋体"/>
                <w:b/>
                <w:sz w:val="21"/>
                <w:szCs w:val="21"/>
              </w:rPr>
            </w:pPr>
            <w:r>
              <w:rPr>
                <w:rFonts w:hint="eastAsia"/>
              </w:rPr>
              <w:t>改进措施：1.</w:t>
            </w:r>
            <w:r>
              <w:rPr>
                <w:rFonts w:hint="eastAsia"/>
                <w:lang w:val="en-US" w:eastAsia="zh-CN"/>
              </w:rPr>
              <w:t>因为公司业务量增加，2021年需招聘一线员工，以满足生产所需</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rPr>
                <w:rFonts w:hint="eastAsia"/>
              </w:rPr>
            </w:pPr>
            <w:r>
              <w:t xml:space="preserve"> EMS</w:t>
            </w:r>
            <w:r>
              <w:rPr>
                <w:rFonts w:hint="eastAsia"/>
              </w:rPr>
              <w:t>是否按规定对主要污染物（污水、废气、噪声、废渣等）及排放实施了例行的监视或测量，结果是否满足相关要求？</w:t>
            </w:r>
          </w:p>
          <w:p>
            <w:pPr>
              <w:pStyle w:val="2"/>
              <w:numPr>
                <w:ilvl w:val="0"/>
                <w:numId w:val="0"/>
              </w:numPr>
            </w:pPr>
            <w:r>
              <w:rPr>
                <w:rFonts w:hint="eastAsia" w:ascii="Times New Roman" w:hAnsi="Times New Roman" w:eastAsia="宋体" w:cs="Times New Roman"/>
                <w:b w:val="0"/>
                <w:bCs w:val="0"/>
                <w:kern w:val="2"/>
                <w:sz w:val="24"/>
                <w:szCs w:val="22"/>
                <w:lang w:val="en-US" w:eastAsia="zh-CN" w:bidi="ar-SA"/>
              </w:rPr>
              <w:t>提供2020.11.11日陕西景泰蓝环境检测有限公司聚环监（综合）字（2020）第831号监测报告，检测项目：废气、噪音，检测结果：合格。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eastAsia="宋体" w:cs="宋体"/>
                <w:sz w:val="21"/>
                <w:szCs w:val="21"/>
              </w:rPr>
              <w:t>提供201</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10</w:t>
            </w:r>
            <w:r>
              <w:rPr>
                <w:rFonts w:hint="eastAsia" w:ascii="宋体" w:hAnsi="宋体" w:eastAsia="宋体" w:cs="宋体"/>
                <w:sz w:val="21"/>
                <w:szCs w:val="21"/>
              </w:rPr>
              <w:t>月公司</w:t>
            </w:r>
            <w:r>
              <w:rPr>
                <w:rFonts w:hint="eastAsia" w:ascii="宋体" w:hAnsi="宋体" w:eastAsia="宋体" w:cs="宋体"/>
                <w:sz w:val="21"/>
                <w:szCs w:val="21"/>
                <w:lang w:val="en-US" w:eastAsia="zh-CN"/>
              </w:rPr>
              <w:t>汽车离合器壳体副箱生产技术改造</w:t>
            </w:r>
            <w:r>
              <w:rPr>
                <w:rFonts w:hint="eastAsia" w:ascii="宋体" w:hAnsi="宋体" w:eastAsia="宋体" w:cs="宋体"/>
                <w:sz w:val="21"/>
                <w:szCs w:val="21"/>
              </w:rPr>
              <w:t>项目环境影响报告表，</w:t>
            </w:r>
            <w:r>
              <w:rPr>
                <w:rFonts w:hint="eastAsia" w:ascii="宋体" w:hAnsi="宋体" w:eastAsia="宋体" w:cs="宋体"/>
                <w:sz w:val="21"/>
                <w:szCs w:val="21"/>
                <w:lang w:val="en-US" w:eastAsia="zh-CN"/>
              </w:rPr>
              <w:t>宝鸡市环境保护局陈仓分局高新环函（2016）116号“关于宝鸡瑞达消失模有限责任公司汽车离合器壳体副箱生产技术改造</w:t>
            </w:r>
            <w:r>
              <w:rPr>
                <w:rFonts w:hint="eastAsia" w:ascii="宋体" w:hAnsi="宋体" w:eastAsia="宋体" w:cs="宋体"/>
                <w:sz w:val="21"/>
                <w:szCs w:val="21"/>
              </w:rPr>
              <w:t>项目环境影响报告表</w:t>
            </w:r>
            <w:r>
              <w:rPr>
                <w:rFonts w:hint="eastAsia" w:ascii="宋体" w:hAnsi="宋体" w:eastAsia="宋体" w:cs="宋体"/>
                <w:sz w:val="21"/>
                <w:szCs w:val="21"/>
                <w:lang w:val="en-US" w:eastAsia="zh-CN"/>
              </w:rPr>
              <w:t>的批复”</w:t>
            </w:r>
            <w:r>
              <w:rPr>
                <w:rFonts w:hint="eastAsia" w:ascii="宋体" w:hAnsi="宋体" w:eastAsia="宋体" w:cs="宋体"/>
                <w:sz w:val="21"/>
                <w:szCs w:val="21"/>
              </w:rPr>
              <w:t>，提供201</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10项目竣工环境保护验收监测报告表</w:t>
            </w:r>
            <w:r>
              <w:rPr>
                <w:rFonts w:hint="eastAsia" w:ascii="宋体" w:hAnsi="宋体" w:eastAsia="宋体" w:cs="宋体"/>
                <w:sz w:val="21"/>
                <w:szCs w:val="21"/>
              </w:rPr>
              <w:t>。企业环评已经过验收。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sz w:val="21"/>
                <w:szCs w:val="21"/>
                <w:lang w:val="en-US" w:eastAsia="zh-CN"/>
              </w:rPr>
              <w:t>经验证，不符合已完成整改。</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w:t>
      </w:r>
      <w:r>
        <w:rPr>
          <w:rFonts w:hint="eastAsia" w:ascii="宋体" w:hAnsi="宋体"/>
          <w:b/>
          <w:szCs w:val="21"/>
          <w:lang w:val="en-US" w:eastAsia="zh-CN"/>
        </w:rPr>
        <w:t>1</w:t>
      </w:r>
      <w:r>
        <w:rPr>
          <w:rFonts w:hint="eastAsia" w:ascii="宋体" w:hAnsi="宋体"/>
          <w:b/>
          <w:szCs w:val="21"/>
        </w:rPr>
        <w:t>项报告项；其中</w:t>
      </w:r>
      <w:r>
        <w:rPr>
          <w:rFonts w:ascii="宋体" w:hAnsi="宋体"/>
          <w:b/>
          <w:szCs w:val="21"/>
        </w:rPr>
        <w:pict>
          <v:line id="直接连接符 1" o:spid="_x0000_s2055"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0" w:firstLineChars="100"/>
              <w:rPr>
                <w:rFonts w:ascii="宋体" w:hAnsi="宋体"/>
                <w:b/>
                <w:szCs w:val="21"/>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w:t>
            </w:r>
            <w:r>
              <w:rPr>
                <w:rFonts w:hint="eastAsia" w:ascii="宋体" w:hAnsi="宋体" w:cs="宋体"/>
                <w:bCs/>
                <w:szCs w:val="21"/>
                <w:lang w:val="en-US" w:eastAsia="zh-CN"/>
              </w:rPr>
              <w:t>恢复</w:t>
            </w:r>
            <w:r>
              <w:rPr>
                <w:rFonts w:hint="eastAsia" w:ascii="宋体" w:hAnsi="宋体" w:cs="宋体"/>
                <w:bCs/>
                <w:szCs w:val="21"/>
              </w:rPr>
              <w:t>认证注册。</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1586230</wp:posOffset>
            </wp:positionH>
            <wp:positionV relativeFrom="paragraph">
              <wp:posOffset>143510</wp:posOffset>
            </wp:positionV>
            <wp:extent cx="698500" cy="57975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98500" cy="579755"/>
                    </a:xfrm>
                    <a:prstGeom prst="rect">
                      <a:avLst/>
                    </a:prstGeom>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1656080</wp:posOffset>
            </wp:positionH>
            <wp:positionV relativeFrom="paragraph">
              <wp:posOffset>145415</wp:posOffset>
            </wp:positionV>
            <wp:extent cx="497205" cy="382270"/>
            <wp:effectExtent l="0" t="0" r="10795" b="11430"/>
            <wp:wrapNone/>
            <wp:docPr id="2" name="图片 2" descr="李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俐-签名"/>
                    <pic:cNvPicPr>
                      <a:picLocks noChangeAspect="1"/>
                    </pic:cNvPicPr>
                  </pic:nvPicPr>
                  <pic:blipFill>
                    <a:blip r:embed="rId7"/>
                    <a:stretch>
                      <a:fillRect/>
                    </a:stretch>
                  </pic:blipFill>
                  <pic:spPr>
                    <a:xfrm>
                      <a:off x="0" y="0"/>
                      <a:ext cx="497205" cy="382270"/>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2021.2.27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0</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980" w:firstLineChars="900"/>
        <w:rPr>
          <w:b/>
          <w:sz w:val="21"/>
          <w:szCs w:val="21"/>
        </w:rPr>
      </w:pPr>
      <w:r>
        <w:rPr>
          <w:rFonts w:hint="eastAsia" w:eastAsia="宋体"/>
          <w:sz w:val="22"/>
          <w:szCs w:val="22"/>
          <w:lang w:eastAsia="zh-CN"/>
        </w:rPr>
        <w:drawing>
          <wp:anchor distT="0" distB="0" distL="114300" distR="114300" simplePos="0" relativeHeight="251667456" behindDoc="0" locked="0" layoutInCell="1" allowOverlap="1">
            <wp:simplePos x="0" y="0"/>
            <wp:positionH relativeFrom="column">
              <wp:posOffset>1141095</wp:posOffset>
            </wp:positionH>
            <wp:positionV relativeFrom="paragraph">
              <wp:posOffset>195580</wp:posOffset>
            </wp:positionV>
            <wp:extent cx="662940" cy="550545"/>
            <wp:effectExtent l="0" t="0" r="0" b="0"/>
            <wp:wrapNone/>
            <wp:docPr id="4" name="图片 4"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签名-郭力"/>
                    <pic:cNvPicPr>
                      <a:picLocks noChangeAspect="1"/>
                    </pic:cNvPicPr>
                  </pic:nvPicPr>
                  <pic:blipFill>
                    <a:blip r:embed="rId6"/>
                    <a:stretch>
                      <a:fillRect/>
                    </a:stretch>
                  </pic:blipFill>
                  <pic:spPr>
                    <a:xfrm>
                      <a:off x="0" y="0"/>
                      <a:ext cx="662940" cy="550545"/>
                    </a:xfrm>
                    <a:prstGeom prst="rect">
                      <a:avLst/>
                    </a:prstGeom>
                  </pic:spPr>
                </pic:pic>
              </a:graphicData>
            </a:graphic>
          </wp:anchor>
        </w:drawing>
      </w: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D10F3"/>
    <w:multiLevelType w:val="singleLevel"/>
    <w:tmpl w:val="170D10F3"/>
    <w:lvl w:ilvl="0" w:tentative="0">
      <w:start w:val="2"/>
      <w:numFmt w:val="chineseCounting"/>
      <w:suff w:val="nothing"/>
      <w:lvlText w:val="%1、"/>
      <w:lvlJc w:val="left"/>
      <w:rPr>
        <w:rFonts w:hint="eastAsia"/>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69984684"/>
    <w:multiLevelType w:val="singleLevel"/>
    <w:tmpl w:val="69984684"/>
    <w:lvl w:ilvl="0" w:tentative="0">
      <w:start w:val="5"/>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0D72D6"/>
    <w:rsid w:val="122C0EF7"/>
    <w:rsid w:val="14B77783"/>
    <w:rsid w:val="1A7D1046"/>
    <w:rsid w:val="224332C1"/>
    <w:rsid w:val="232004CC"/>
    <w:rsid w:val="2A8455AD"/>
    <w:rsid w:val="2B651BF1"/>
    <w:rsid w:val="2DB763FE"/>
    <w:rsid w:val="3701450E"/>
    <w:rsid w:val="3A3A6D63"/>
    <w:rsid w:val="3AC059A0"/>
    <w:rsid w:val="3DCF1AED"/>
    <w:rsid w:val="4F631442"/>
    <w:rsid w:val="54EA618E"/>
    <w:rsid w:val="59FA3482"/>
    <w:rsid w:val="5C190406"/>
    <w:rsid w:val="5EF24195"/>
    <w:rsid w:val="65501574"/>
    <w:rsid w:val="66CB21C9"/>
    <w:rsid w:val="6A5C555D"/>
    <w:rsid w:val="6DDB097B"/>
    <w:rsid w:val="72896544"/>
    <w:rsid w:val="72AC6D29"/>
    <w:rsid w:val="73393123"/>
    <w:rsid w:val="74513FE0"/>
    <w:rsid w:val="78FD6313"/>
    <w:rsid w:val="7B6F49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3"/>
        <o:r id="V:Rule2" type="connector" idref="#_x0000_s205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w:basedOn w:val="1"/>
    <w:semiHidden/>
    <w:unhideWhenUsed/>
    <w:qFormat/>
    <w:uiPriority w:val="99"/>
    <w:pPr>
      <w:spacing w:after="120"/>
    </w:pPr>
  </w:style>
  <w:style w:type="paragraph" w:styleId="5">
    <w:name w:val="Balloon Text"/>
    <w:basedOn w:val="1"/>
    <w:link w:val="11"/>
    <w:semiHidden/>
    <w:uiPriority w:val="99"/>
    <w:rPr>
      <w:sz w:val="18"/>
      <w:szCs w:val="18"/>
    </w:rPr>
  </w:style>
  <w:style w:type="paragraph" w:styleId="6">
    <w:name w:val="footer"/>
    <w:basedOn w:val="1"/>
    <w:link w:val="12"/>
    <w:semiHidden/>
    <w:qFormat/>
    <w:uiPriority w:val="99"/>
    <w:pPr>
      <w:tabs>
        <w:tab w:val="center" w:pos="4153"/>
        <w:tab w:val="right" w:pos="8306"/>
      </w:tabs>
      <w:snapToGrid w:val="0"/>
      <w:jc w:val="left"/>
    </w:pPr>
    <w:rPr>
      <w:sz w:val="18"/>
      <w:szCs w:val="18"/>
    </w:rPr>
  </w:style>
  <w:style w:type="paragraph" w:styleId="7">
    <w:name w:val="header"/>
    <w:basedOn w:val="1"/>
    <w:link w:val="13"/>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9">
    <w:name w:val="Table Grid"/>
    <w:basedOn w:val="8"/>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6"/>
    <w:semiHidden/>
    <w:locked/>
    <w:uiPriority w:val="99"/>
    <w:rPr>
      <w:rFonts w:ascii="Times New Roman" w:hAnsi="Times New Roman" w:eastAsia="宋体" w:cs="Times New Roman"/>
      <w:sz w:val="18"/>
      <w:szCs w:val="18"/>
    </w:rPr>
  </w:style>
  <w:style w:type="character" w:customStyle="1" w:styleId="13">
    <w:name w:val="页眉 Char"/>
    <w:link w:val="7"/>
    <w:locked/>
    <w:uiPriority w:val="0"/>
    <w:rPr>
      <w:sz w:val="18"/>
    </w:rPr>
  </w:style>
  <w:style w:type="character" w:customStyle="1" w:styleId="14">
    <w:name w:val="页眉 Char1"/>
    <w:semiHidden/>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郭力</cp:lastModifiedBy>
  <cp:lastPrinted>2019-04-18T08:15:00Z</cp:lastPrinted>
  <dcterms:modified xsi:type="dcterms:W3CDTF">2021-02-28T02:53:31Z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