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13"/>
        <w:gridCol w:w="121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宝鸡瑞达消失模有限公司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来料检验→车工工序（内外径、平面、止口）→加工中心（钻孔、镗孔、铣孔）→摇臂钻加工（惚孔、攻丝）→清洗、检验、包装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</w:t>
            </w:r>
            <w:r>
              <w:rPr>
                <w:rFonts w:hint="eastAsia"/>
                <w:b/>
                <w:sz w:val="20"/>
              </w:rPr>
              <w:t>过程：</w:t>
            </w:r>
            <w:r>
              <w:rPr>
                <w:rFonts w:hint="eastAsia"/>
                <w:b/>
                <w:sz w:val="20"/>
                <w:lang w:val="en-US" w:eastAsia="zh-CN"/>
              </w:rPr>
              <w:t>销售过程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潜在火灾、固体废弃物、噪音等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GB/T1184-1996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《形状和位置公差未注公差值》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图号6DS50T-16010-5系列、15410-15系列离合器壳体图纸、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陕西法士特汽车传动集团有限责任公司标准S27003-2019《灰铸铁件规范》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检验产品尺寸参数等。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4034790</wp:posOffset>
            </wp:positionH>
            <wp:positionV relativeFrom="paragraph">
              <wp:posOffset>6350</wp:posOffset>
            </wp:positionV>
            <wp:extent cx="579120" cy="480695"/>
            <wp:effectExtent l="0" t="0" r="0" b="0"/>
            <wp:wrapNone/>
            <wp:docPr id="1" name="图片 1" descr="签名-郭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签名-郭力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18415</wp:posOffset>
            </wp:positionV>
            <wp:extent cx="382905" cy="302895"/>
            <wp:effectExtent l="0" t="0" r="10795" b="190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2021.2.26</w:t>
      </w:r>
      <w:r>
        <w:rPr>
          <w:rFonts w:ascii="宋体"/>
          <w:b/>
          <w:sz w:val="22"/>
          <w:szCs w:val="22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2021.2.26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bookmarkStart w:id="4" w:name="_GoBack"/>
      <w:bookmarkEnd w:id="4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B4F499D"/>
    <w:rsid w:val="4407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2021-02-26T07:19:08Z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