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drawing>
          <wp:anchor distT="0" distB="0" distL="114300" distR="114300" simplePos="0" relativeHeight="251659264" behindDoc="0" locked="0" layoutInCell="1" allowOverlap="1">
            <wp:simplePos x="0" y="0"/>
            <wp:positionH relativeFrom="column">
              <wp:posOffset>-539750</wp:posOffset>
            </wp:positionH>
            <wp:positionV relativeFrom="paragraph">
              <wp:posOffset>-1014730</wp:posOffset>
            </wp:positionV>
            <wp:extent cx="7412990" cy="10655300"/>
            <wp:effectExtent l="0" t="0" r="3810" b="0"/>
            <wp:wrapNone/>
            <wp:docPr id="2" name="图片 2" descr="扫描全能王 2021-03-31 17.32_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31 17.32_16"/>
                    <pic:cNvPicPr>
                      <a:picLocks noChangeAspect="1"/>
                    </pic:cNvPicPr>
                  </pic:nvPicPr>
                  <pic:blipFill>
                    <a:blip r:embed="rId6"/>
                    <a:stretch>
                      <a:fillRect/>
                    </a:stretch>
                  </pic:blipFill>
                  <pic:spPr>
                    <a:xfrm>
                      <a:off x="0" y="0"/>
                      <a:ext cx="7412990" cy="10655300"/>
                    </a:xfrm>
                    <a:prstGeom prst="rect">
                      <a:avLst/>
                    </a:prstGeom>
                  </pic:spPr>
                </pic:pic>
              </a:graphicData>
            </a:graphic>
          </wp:anchor>
        </w:drawing>
      </w:r>
      <w:r>
        <w:rPr>
          <w:rFonts w:hint="eastAsia" w:asciiTheme="majorEastAsia" w:hAnsiTheme="majorEastAsia" w:eastAsiaTheme="majorEastAsia" w:cstheme="majorEastAsia"/>
          <w:sz w:val="30"/>
          <w:szCs w:val="30"/>
        </w:rPr>
        <w:t>不 符 合 项 报 告</w:t>
      </w:r>
    </w:p>
    <w:tbl>
      <w:tblPr>
        <w:tblStyle w:val="4"/>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环境管理体系：第（1）次监督</w:t>
            </w:r>
          </w:p>
          <w:p>
            <w:pPr>
              <w:spacing w:line="360" w:lineRule="exact"/>
              <w:rPr>
                <w:rFonts w:hint="eastAsia"/>
                <w:b/>
                <w:szCs w:val="21"/>
              </w:rPr>
            </w:pPr>
            <w:r>
              <w:rPr>
                <w:rFonts w:hint="eastAsia"/>
                <w:b/>
                <w:szCs w:val="21"/>
              </w:rPr>
              <w:t>质量管理体系：初次认证第（二）阶段</w:t>
            </w:r>
          </w:p>
          <w:p>
            <w:pPr>
              <w:spacing w:line="360" w:lineRule="exact"/>
              <w:rPr>
                <w:rFonts w:hint="eastAsia"/>
                <w:b/>
                <w:szCs w:val="21"/>
              </w:rPr>
            </w:pPr>
            <w:r>
              <w:rPr>
                <w:rFonts w:hint="eastAsia"/>
                <w:b/>
                <w:szCs w:val="21"/>
              </w:rPr>
              <w:t>职业健康安全管理体系：初次认证第（二）阶段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西安洛科电子科技股份有限公司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ascii="方正仿宋简体" w:eastAsia="方正仿宋简体"/>
                <w:b/>
              </w:rPr>
            </w:pPr>
            <w:r>
              <w:rPr>
                <w:rFonts w:hint="eastAsia" w:ascii="方正仿宋简体" w:eastAsia="方正仿宋简体"/>
                <w:b/>
              </w:rPr>
              <w:t>综合管理部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ascii="方正仿宋简体" w:eastAsia="方正仿宋简体"/>
                <w:b/>
              </w:rPr>
            </w:pPr>
            <w:r>
              <w:rPr>
                <w:rFonts w:hint="eastAsia" w:ascii="方正仿宋简体" w:eastAsia="方正仿宋简体"/>
                <w:b/>
              </w:rPr>
              <w:t>蔡思平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不符合事实描述:</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hint="default" w:ascii="方正仿宋简体" w:eastAsia="方正仿宋简体"/>
                <w:b/>
                <w:lang w:val="en-US" w:eastAsia="zh-CN"/>
              </w:rPr>
            </w:pPr>
            <w:r>
              <w:rPr>
                <w:rFonts w:hint="eastAsia" w:ascii="方正仿宋简体" w:eastAsia="方正仿宋简体"/>
                <w:b/>
                <w:lang w:val="en-US" w:eastAsia="zh-CN"/>
              </w:rPr>
              <w:t>未能提供与中国石油天然气股份有限公司签订关于测井仪及配件买卖合同的评审证据。</w:t>
            </w: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rPr>
              <w:sym w:font="Wingdings 2" w:char="0052"/>
            </w:r>
            <w:r>
              <w:rPr>
                <w:rFonts w:hint="eastAsia" w:ascii="宋体" w:hAnsi="宋体"/>
                <w:b/>
                <w:sz w:val="22"/>
                <w:szCs w:val="22"/>
              </w:rPr>
              <w:t xml:space="preserve"> GB/T 19001:2016 idt ISO 9001:2015标准 </w:t>
            </w:r>
            <w:r>
              <w:rPr>
                <w:rFonts w:hint="eastAsia" w:ascii="宋体" w:hAnsi="宋体"/>
                <w:b/>
                <w:sz w:val="22"/>
                <w:szCs w:val="22"/>
                <w:lang w:val="en-US" w:eastAsia="zh-CN"/>
              </w:rPr>
              <w:t>8.2.3</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ascii="宋体" w:hAnsi="宋体"/>
                <w:b/>
                <w:sz w:val="22"/>
                <w:szCs w:val="22"/>
              </w:rPr>
              <w:t>□</w:t>
            </w:r>
            <w:r>
              <w:rPr>
                <w:rFonts w:hAnsi="宋体"/>
                <w:b/>
                <w:sz w:val="22"/>
                <w:szCs w:val="22"/>
              </w:rPr>
              <w:t>一般</w:t>
            </w:r>
          </w:p>
          <w:p>
            <w:pPr>
              <w:spacing w:before="120" w:line="160" w:lineRule="exact"/>
              <w:rPr>
                <w:rFonts w:ascii="方正仿宋简体" w:eastAsia="方正仿宋简体"/>
                <w:b/>
              </w:rPr>
            </w:pP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 xml:space="preserve">日  期：                     日    期：                日    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drawing>
          <wp:anchor distT="0" distB="0" distL="114300" distR="114300" simplePos="0" relativeHeight="251660288" behindDoc="0" locked="0" layoutInCell="1" allowOverlap="1">
            <wp:simplePos x="0" y="0"/>
            <wp:positionH relativeFrom="column">
              <wp:posOffset>-609600</wp:posOffset>
            </wp:positionH>
            <wp:positionV relativeFrom="paragraph">
              <wp:posOffset>-1024890</wp:posOffset>
            </wp:positionV>
            <wp:extent cx="7490460" cy="10576560"/>
            <wp:effectExtent l="0" t="0" r="2540" b="2540"/>
            <wp:wrapNone/>
            <wp:docPr id="3" name="图片 3" descr="扫描全能王 2021-03-31 17.32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扫描全能王 2021-03-31 17.32_17"/>
                    <pic:cNvPicPr>
                      <a:picLocks noChangeAspect="1"/>
                    </pic:cNvPicPr>
                  </pic:nvPicPr>
                  <pic:blipFill>
                    <a:blip r:embed="rId7"/>
                    <a:stretch>
                      <a:fillRect/>
                    </a:stretch>
                  </pic:blipFill>
                  <pic:spPr>
                    <a:xfrm>
                      <a:off x="0" y="0"/>
                      <a:ext cx="7490460" cy="10576560"/>
                    </a:xfrm>
                    <a:prstGeom prst="rect">
                      <a:avLst/>
                    </a:prstGeom>
                  </pic:spPr>
                </pic:pic>
              </a:graphicData>
            </a:graphic>
          </wp:anchor>
        </w:drawing>
      </w:r>
      <w:r>
        <w:rPr>
          <w:rFonts w:hint="eastAsia" w:eastAsia="黑体"/>
          <w:sz w:val="32"/>
        </w:rPr>
        <w:t>不符合项纠正措施表</w:t>
      </w:r>
    </w:p>
    <w:tbl>
      <w:tblPr>
        <w:tblStyle w:val="4"/>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r>
              <w:rPr>
                <w:rFonts w:hint="eastAsia" w:ascii="方正仿宋简体" w:eastAsia="方正仿宋简体"/>
                <w:b/>
                <w:lang w:val="en-US" w:eastAsia="zh-CN"/>
              </w:rPr>
              <w:t>未能提供与中国石油天然气股份有限公司签订关于测井仪及配件买卖合同的评审证据。</w:t>
            </w: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vAlign w:val="top"/>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r>
              <w:rPr>
                <w:rFonts w:hint="eastAsia" w:eastAsia="方正仿宋简体"/>
                <w:b/>
                <w:lang w:val="en-US" w:eastAsia="zh-CN"/>
              </w:rPr>
              <w:t>由综合管理部</w:t>
            </w:r>
            <w:r>
              <w:rPr>
                <w:rFonts w:hint="eastAsia" w:ascii="Times New Roman" w:hAnsi="Times New Roman" w:eastAsia="方正仿宋简体" w:cs="Times New Roman"/>
                <w:b/>
                <w:lang w:val="en-US" w:eastAsia="zh-CN"/>
              </w:rPr>
              <w:t>组织相关人员对与</w:t>
            </w:r>
            <w:r>
              <w:rPr>
                <w:rFonts w:hint="eastAsia" w:ascii="方正仿宋简体" w:eastAsia="方正仿宋简体"/>
                <w:b/>
                <w:lang w:val="en-US" w:eastAsia="zh-CN"/>
              </w:rPr>
              <w:t>中国石油天然气股份有限公司签订关于测井仪及配件买卖合同</w:t>
            </w:r>
            <w:r>
              <w:rPr>
                <w:rFonts w:hint="eastAsia" w:ascii="Times New Roman" w:hAnsi="Times New Roman" w:eastAsia="方正仿宋简体" w:cs="Times New Roman"/>
                <w:b/>
                <w:lang w:val="en-US" w:eastAsia="zh-CN"/>
              </w:rPr>
              <w:t>进</w:t>
            </w:r>
            <w:r>
              <w:rPr>
                <w:rFonts w:hint="eastAsia" w:ascii="方正仿宋简体" w:eastAsia="方正仿宋简体"/>
                <w:b/>
                <w:lang w:val="en-US" w:eastAsia="zh-CN"/>
              </w:rPr>
              <w:t>行补充评审。</w:t>
            </w: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vAlign w:val="top"/>
          </w:tcPr>
          <w:p>
            <w:pPr>
              <w:rPr>
                <w:rFonts w:eastAsia="方正仿宋简体"/>
                <w:b/>
              </w:rPr>
            </w:pPr>
            <w:r>
              <w:rPr>
                <w:rFonts w:hint="eastAsia" w:eastAsia="方正仿宋简体"/>
                <w:b/>
              </w:rPr>
              <w:t>原因分析：</w:t>
            </w:r>
          </w:p>
          <w:p>
            <w:pPr>
              <w:rPr>
                <w:rFonts w:eastAsia="方正仿宋简体"/>
                <w:b/>
              </w:rPr>
            </w:pPr>
          </w:p>
          <w:p>
            <w:pPr>
              <w:rPr>
                <w:rFonts w:hint="default" w:eastAsia="方正仿宋简体"/>
                <w:b/>
                <w:lang w:val="en-US" w:eastAsia="zh-CN"/>
              </w:rPr>
            </w:pPr>
            <w:r>
              <w:rPr>
                <w:rFonts w:hint="eastAsia" w:eastAsia="方正仿宋简体"/>
                <w:b/>
                <w:lang w:val="en-US" w:eastAsia="zh-CN"/>
              </w:rPr>
              <w:t>综合管理部相关人员对标准GB/T 19001-2016中8.2.3条款理解不到位，导致未能及时进行合同评审。</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vAlign w:val="top"/>
          </w:tcPr>
          <w:p>
            <w:pPr>
              <w:rPr>
                <w:rFonts w:eastAsia="方正仿宋简体"/>
                <w:b/>
              </w:rPr>
            </w:pPr>
            <w:r>
              <w:rPr>
                <w:rFonts w:hint="eastAsia" w:eastAsia="方正仿宋简体"/>
                <w:b/>
              </w:rPr>
              <w:t>纠正措施：</w:t>
            </w:r>
          </w:p>
          <w:p>
            <w:pPr>
              <w:rPr>
                <w:rFonts w:eastAsia="方正仿宋简体"/>
                <w:b/>
              </w:rPr>
            </w:pPr>
          </w:p>
          <w:p>
            <w:pPr>
              <w:rPr>
                <w:rFonts w:hint="default" w:eastAsia="方正仿宋简体"/>
                <w:b/>
                <w:lang w:val="en-US" w:eastAsia="zh-CN"/>
              </w:rPr>
            </w:pPr>
            <w:r>
              <w:rPr>
                <w:rFonts w:hint="eastAsia" w:eastAsia="方正仿宋简体"/>
                <w:b/>
                <w:lang w:val="en-US" w:eastAsia="zh-CN"/>
              </w:rPr>
              <w:t>组织相关人员对标准GB/T 19001-2016中8.2.3条款进行培训学习。</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r>
              <w:rPr>
                <w:rFonts w:hint="eastAsia" w:ascii="方正仿宋简体" w:eastAsia="方正仿宋简体"/>
                <w:b/>
                <w:lang w:val="en-US" w:eastAsia="zh-CN"/>
              </w:rPr>
              <w:t>2021.4.2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vAlign w:val="top"/>
          </w:tcPr>
          <w:p>
            <w:pPr>
              <w:rPr>
                <w:rFonts w:eastAsia="方正仿宋简体"/>
                <w:b/>
              </w:rPr>
            </w:pPr>
            <w:r>
              <w:rPr>
                <w:rFonts w:hint="eastAsia" w:eastAsia="方正仿宋简体"/>
                <w:b/>
              </w:rPr>
              <w:t>举一反三检查情况：</w:t>
            </w:r>
          </w:p>
          <w:p>
            <w:pPr>
              <w:rPr>
                <w:rFonts w:eastAsia="方正仿宋简体"/>
                <w:b/>
              </w:rPr>
            </w:pPr>
          </w:p>
          <w:p>
            <w:pPr>
              <w:rPr>
                <w:rFonts w:hint="default" w:eastAsia="方正仿宋简体"/>
                <w:b/>
                <w:lang w:val="en-US" w:eastAsia="zh-CN"/>
              </w:rPr>
            </w:pPr>
            <w:r>
              <w:rPr>
                <w:rFonts w:hint="eastAsia" w:eastAsia="方正仿宋简体"/>
                <w:b/>
                <w:lang w:val="en-US" w:eastAsia="zh-CN"/>
              </w:rPr>
              <w:t>检查管理体系其他环节是否有类似事件发生，经检查，无此类情况发生。</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trPr>
        <w:tc>
          <w:tcPr>
            <w:tcW w:w="10028" w:type="dxa"/>
            <w:vAlign w:val="top"/>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r>
              <w:rPr>
                <w:rFonts w:hint="eastAsia" w:eastAsia="方正仿宋简体"/>
                <w:b/>
                <w:lang w:val="en-US" w:eastAsia="zh-CN"/>
              </w:rPr>
              <w:t>措施有效。</w:t>
            </w: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p>
      <w:pPr>
        <w:rPr>
          <w:rFonts w:hint="eastAsia" w:eastAsia="方正仿宋简体"/>
          <w:b/>
          <w:lang w:eastAsia="zh-CN"/>
        </w:rPr>
      </w:pPr>
      <w:r>
        <w:rPr>
          <w:rFonts w:hint="eastAsia" w:eastAsia="方正仿宋简体"/>
          <w:b/>
          <w:lang w:eastAsia="zh-CN"/>
        </w:rPr>
        <w:br w:type="page"/>
      </w:r>
    </w:p>
    <w:p>
      <w:pPr>
        <w:rPr>
          <w:rFonts w:hint="eastAsia" w:eastAsia="方正仿宋简体"/>
          <w:b/>
          <w:lang w:eastAsia="zh-CN"/>
        </w:rPr>
      </w:pPr>
      <w:r>
        <w:rPr>
          <w:rFonts w:hint="eastAsia" w:eastAsia="方正仿宋简体"/>
          <w:b/>
          <w:lang w:eastAsia="zh-CN"/>
        </w:rPr>
        <w:drawing>
          <wp:inline distT="0" distB="0" distL="114300" distR="114300">
            <wp:extent cx="6391275" cy="9089390"/>
            <wp:effectExtent l="0" t="0" r="9525" b="3810"/>
            <wp:docPr id="5" name="图片 5" descr="扫描全能王 2021-03-31 17.32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03-31 17.32_21"/>
                    <pic:cNvPicPr>
                      <a:picLocks noChangeAspect="1"/>
                    </pic:cNvPicPr>
                  </pic:nvPicPr>
                  <pic:blipFill>
                    <a:blip r:embed="rId8"/>
                    <a:stretch>
                      <a:fillRect/>
                    </a:stretch>
                  </pic:blipFill>
                  <pic:spPr>
                    <a:xfrm>
                      <a:off x="0" y="0"/>
                      <a:ext cx="6391275" cy="9089390"/>
                    </a:xfrm>
                    <a:prstGeom prst="rect">
                      <a:avLst/>
                    </a:prstGeom>
                  </pic:spPr>
                </pic:pic>
              </a:graphicData>
            </a:graphic>
          </wp:inline>
        </w:drawing>
      </w:r>
      <w:r>
        <w:rPr>
          <w:rFonts w:hint="eastAsia" w:eastAsia="方正仿宋简体"/>
          <w:b/>
          <w:lang w:eastAsia="zh-CN"/>
        </w:rPr>
        <w:br w:type="page"/>
      </w:r>
      <w:r>
        <w:rPr>
          <w:rFonts w:hint="eastAsia" w:eastAsia="方正仿宋简体"/>
          <w:b/>
          <w:lang w:eastAsia="zh-CN"/>
        </w:rPr>
        <w:drawing>
          <wp:inline distT="0" distB="0" distL="114300" distR="114300">
            <wp:extent cx="6389370" cy="9067165"/>
            <wp:effectExtent l="0" t="0" r="11430" b="635"/>
            <wp:docPr id="4" name="图片 4" descr="扫描全能王 2021-03-31 17.32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扫描全能王 2021-03-31 17.32_20"/>
                    <pic:cNvPicPr>
                      <a:picLocks noChangeAspect="1"/>
                    </pic:cNvPicPr>
                  </pic:nvPicPr>
                  <pic:blipFill>
                    <a:blip r:embed="rId9"/>
                    <a:stretch>
                      <a:fillRect/>
                    </a:stretch>
                  </pic:blipFill>
                  <pic:spPr>
                    <a:xfrm>
                      <a:off x="0" y="0"/>
                      <a:ext cx="6389370" cy="9067165"/>
                    </a:xfrm>
                    <a:prstGeom prst="rect">
                      <a:avLst/>
                    </a:prstGeom>
                  </pic:spPr>
                </pic:pic>
              </a:graphicData>
            </a:graphic>
          </wp:inline>
        </w:drawing>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swiss"/>
    <w:pitch w:val="default"/>
    <w:sig w:usb0="FFFFFFFF" w:usb1="E9FFFFFF" w:usb2="0000003F" w:usb3="00000000" w:csb0="603F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drawing>
        <wp:anchor distT="0" distB="0" distL="114300" distR="114300" simplePos="0" relativeHeight="25166233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_x0000_s4097" o:spid="_x0000_s4097" o:spt="202" type="#_x0000_t202" style="position:absolute;left:0pt;margin-left:311.4pt;margin-top:2.2pt;height:20.2pt;width:173.1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8"/>
        <w:rFonts w:hint="default"/>
        <w:w w:val="90"/>
        <w:sz w:val="18"/>
      </w:rPr>
      <w:t>Beijing International Standard united Certification Co.,Ltd.</w:t>
    </w:r>
  </w:p>
  <w:p>
    <w:r>
      <w:pict>
        <v:shape id="_x0000_s4098" o:spid="_x0000_s4098"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p>
    <w:pPr>
      <w:pStyle w:val="3"/>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710238E"/>
    <w:rsid w:val="0A650B0B"/>
    <w:rsid w:val="1E510C60"/>
    <w:rsid w:val="456D43AB"/>
    <w:rsid w:val="4E6129A3"/>
    <w:rsid w:val="567E1BF7"/>
    <w:rsid w:val="68E26D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Times New Roman" w:hAnsi="Times New Roman" w:eastAsia="宋体" w:cs="Times New Roman"/>
      <w:sz w:val="18"/>
      <w:szCs w:val="18"/>
    </w:rPr>
  </w:style>
  <w:style w:type="character" w:customStyle="1" w:styleId="7">
    <w:name w:val="页脚 字符"/>
    <w:basedOn w:val="5"/>
    <w:link w:val="2"/>
    <w:qFormat/>
    <w:uiPriority w:val="0"/>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郭力</cp:lastModifiedBy>
  <cp:lastPrinted>2019-05-13T03:02:00Z</cp:lastPrinted>
  <dcterms:modified xsi:type="dcterms:W3CDTF">2021-04-02T14:12:26Z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5B17338D85C04ECAA1AC633BFC936A55</vt:lpwstr>
  </property>
</Properties>
</file>