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088"/>
        <w:gridCol w:w="1277"/>
        <w:gridCol w:w="1024"/>
        <w:gridCol w:w="1771"/>
        <w:gridCol w:w="1047"/>
        <w:gridCol w:w="2178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99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119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西安洛科电子科技股份有限公</w:t>
            </w:r>
            <w:bookmarkStart w:id="5" w:name="_GoBack"/>
            <w:bookmarkEnd w:id="5"/>
            <w:r>
              <w:rPr>
                <w:b/>
                <w:sz w:val="20"/>
              </w:rPr>
              <w:t>司</w:t>
            </w:r>
            <w:bookmarkEnd w:id="3"/>
          </w:p>
        </w:tc>
        <w:tc>
          <w:tcPr>
            <w:tcW w:w="21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Q：18.05.02;19.05.01;33.02.01;33.02.02;34.06.00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O：18.05.02;19.05.01;33.02.01;33.02.02;34.06.00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0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8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0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18.05.02;19.05.01;33.02.01;33.02.02;34.06.00</w:t>
            </w:r>
          </w:p>
        </w:tc>
        <w:tc>
          <w:tcPr>
            <w:tcW w:w="10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18.05.02;19.05.01;33.02.01;33.02.02;34.06.00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9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76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石油仪器仪表、专用工具及配件的生产和销售流程：机械装配-电路板焊接-电路板老化-总装-调试-检验-交付-售后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信息系统集成流程：方案设计-硬件到货验收-软硬件安装部署-软硬件联调-用户培训-试运行-交付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计算机应用软件开发实现流程：甲方要求—编写软件研发文件—软件编程—测试—交付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油仪器仪表、专用工具及配件的研发流程：项目立项→需求调研/分析→成果设计→客户测试验收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技术服务流程：顾客需求→需求调研/分析→实施服务→客户测试验收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9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676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设备调试、销售服务过程、代码编写以及测试过程、成果设计过程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9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676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资源能源消耗、固体废弃物排放、意外火灾，控制措施：噪声控制程序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废气、废水、固体废弃物控制程序，应急准备和响应控制程序。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9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676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火灾、触电、机械伤害，控制措施：电气安全管理程序，消防安全管理程序，应急准备和响应控制程序。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9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相关法律法规的要求及产品标准</w:t>
            </w:r>
          </w:p>
        </w:tc>
        <w:tc>
          <w:tcPr>
            <w:tcW w:w="8676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 50058-2014爆炸危险环境电力装置设计规范、JJG 875-2005数字压力计检定规程、SY/T 6675-2007井下流量计校准方法、SY/T 6697-2010注水井分成流量实时测调仪、SY/T 6759-2009示功仪校准装置校准方法、SY/T 5166-2007抽油机井测试仪器技术条件、SY/T 5165-2013石油井下取样器、SY/T 6231-2006电子式井下压力计、安全生产法、环境保护法、消防法等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9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676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设备调试、老化试验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97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76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4278630</wp:posOffset>
            </wp:positionH>
            <wp:positionV relativeFrom="paragraph">
              <wp:posOffset>111125</wp:posOffset>
            </wp:positionV>
            <wp:extent cx="362585" cy="278765"/>
            <wp:effectExtent l="0" t="0" r="5715" b="635"/>
            <wp:wrapNone/>
            <wp:docPr id="2" name="图片 2" descr="签名-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-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111125</wp:posOffset>
            </wp:positionV>
            <wp:extent cx="714375" cy="342900"/>
            <wp:effectExtent l="0" t="0" r="9525" b="0"/>
            <wp:wrapNone/>
            <wp:docPr id="3" name="图片 3" descr="强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强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2021.3.31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2021.3.31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732CBF"/>
    <w:rsid w:val="611F3E69"/>
    <w:rsid w:val="704214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9</TotalTime>
  <ScaleCrop>false</ScaleCrop>
  <LinksUpToDate>false</LinksUpToDate>
  <CharactersWithSpaces>292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2021-03-30T03:34:28Z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0C86A54092594BEEAF9692393BBC2CDB</vt:lpwstr>
  </property>
</Properties>
</file>