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151"/>
        <w:gridCol w:w="1248"/>
        <w:gridCol w:w="1080"/>
        <w:gridCol w:w="1236"/>
        <w:gridCol w:w="26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504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杭州拓成劳务服务有限公司</w:t>
            </w:r>
            <w:bookmarkEnd w:id="4"/>
          </w:p>
        </w:tc>
        <w:tc>
          <w:tcPr>
            <w:tcW w:w="123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68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Q：35.10.00;35.11.00;35.16.01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E：35.10.00;35.11.00;35.16.01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O：35.10.00;35.11.00;35.16.01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任泽华、付长雪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35.10.00;35.11.00;35.16.01</w:t>
            </w:r>
          </w:p>
        </w:tc>
        <w:tc>
          <w:tcPr>
            <w:tcW w:w="12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6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1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方小娥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王央央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6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6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bookmarkStart w:id="6" w:name="_GoBack"/>
            <w:r>
              <w:rPr>
                <w:rFonts w:hint="eastAsia"/>
                <w:b/>
                <w:sz w:val="20"/>
                <w:szCs w:val="22"/>
              </w:rPr>
              <w:t>信息考察---评审签合同--招聘（培训）--考核（验证）---服务管理---跟踪考核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劳务派遣过程中客户需求的确认、劳务工人员能力确认、服务提供过程的确认；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服务提供过程固废排放及火灾预防；制定环境管理文件，落实垃圾分类管理；实施应急预案管理等；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活动中意外人身伤害、高温中暑及用电安全；一般风险管理，制定安全管理制度进行风险控制。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《劳动合同法》、《劳务派遣行政许可实施办法》、《杭州市安全生产条例》、《工伤保险条例》、《杭州市生活垃圾管理条例》等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/>
          <w:b/>
          <w:sz w:val="20"/>
          <w:lang w:val="en-US" w:eastAsia="zh-CN"/>
        </w:rPr>
        <w:t>任泽华  付长雪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2021-2-1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林兵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2021-2-1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664450"/>
    <w:rsid w:val="17510D92"/>
    <w:rsid w:val="22F52BBF"/>
    <w:rsid w:val="63BB3B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locked/>
    <w:uiPriority w:val="0"/>
    <w:rPr>
      <w:b/>
      <w:bCs/>
    </w:rPr>
  </w:style>
  <w:style w:type="character" w:customStyle="1" w:styleId="8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2021-02-02T05:07:46Z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