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0062-2021-QEO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重庆年年有余物业管理有限公司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Q:35.15.00</w:t>
            </w:r>
          </w:p>
          <w:p>
            <w:pPr>
              <w:spacing w:line="240" w:lineRule="exact"/>
              <w:jc w:val="center"/>
              <w:rPr>
                <w:b/>
                <w:color w:val="000000"/>
                <w:sz w:val="20"/>
                <w:szCs w:val="20"/>
              </w:rPr>
            </w:pPr>
            <w:r>
              <w:rPr>
                <w:b/>
                <w:color w:val="000000"/>
                <w:sz w:val="20"/>
                <w:szCs w:val="20"/>
              </w:rPr>
              <w:t>E:35.15.00</w:t>
            </w:r>
          </w:p>
          <w:p>
            <w:pPr>
              <w:spacing w:line="240" w:lineRule="exact"/>
              <w:jc w:val="center"/>
              <w:rPr>
                <w:b/>
                <w:color w:val="000000"/>
                <w:sz w:val="20"/>
                <w:szCs w:val="20"/>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重庆年年有余物业管理有限公司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重庆市九龙坡区石杨路25-5-1、2、3、6、7、8、9号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重庆市九龙坡区石杨路25-5-1、2、3、6、7、8、9号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刘显燕</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17782289989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杨川</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谭巧玲</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2020年5月8日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Q：物业管理服务</w:t>
            </w:r>
          </w:p>
          <w:p>
            <w:pPr>
              <w:spacing w:line="400" w:lineRule="exact"/>
              <w:rPr>
                <w:rFonts w:ascii="宋体" w:hAnsi="宋体"/>
                <w:b/>
                <w:color w:val="000000"/>
                <w:sz w:val="20"/>
                <w:szCs w:val="20"/>
              </w:rPr>
            </w:pPr>
            <w:r>
              <w:rPr>
                <w:rFonts w:ascii="宋体" w:hAnsi="宋体"/>
                <w:b/>
                <w:color w:val="000000"/>
                <w:sz w:val="20"/>
                <w:szCs w:val="20"/>
              </w:rPr>
              <w:t>E：物业管理服务所涉及场所的相关环境管理活动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O：物业管理服务所涉及场所的相关职业健康安全管理活动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Q：35.15.00</w:t>
            </w:r>
          </w:p>
          <w:p>
            <w:pPr>
              <w:spacing w:line="280" w:lineRule="exact"/>
              <w:rPr>
                <w:rFonts w:ascii="宋体"/>
                <w:b/>
                <w:color w:val="000000"/>
                <w:sz w:val="20"/>
                <w:szCs w:val="20"/>
              </w:rPr>
            </w:pPr>
            <w:r>
              <w:rPr>
                <w:rFonts w:ascii="宋体"/>
                <w:b/>
                <w:color w:val="000000"/>
                <w:sz w:val="20"/>
                <w:szCs w:val="20"/>
              </w:rPr>
              <w:t>E：35.15.00</w:t>
            </w:r>
          </w:p>
          <w:p>
            <w:pPr>
              <w:spacing w:line="280" w:lineRule="exact"/>
              <w:rPr>
                <w:rFonts w:ascii="宋体"/>
                <w:b/>
                <w:color w:val="000000"/>
                <w:sz w:val="20"/>
                <w:szCs w:val="20"/>
              </w:rPr>
            </w:pPr>
            <w:r>
              <w:rPr>
                <w:rFonts w:ascii="宋体"/>
                <w:b/>
                <w:color w:val="000000"/>
                <w:sz w:val="20"/>
                <w:szCs w:val="20"/>
              </w:rPr>
              <w:t>O：35.15.00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ascii="宋体"/>
          <w:b/>
          <w:color w:val="000000"/>
          <w:sz w:val="20"/>
          <w:szCs w:val="20"/>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评审的文件有管理手册、程序文件、内部审核、管理评审、合规性报告等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b/>
          <w:color w:val="000000"/>
          <w:sz w:val="20"/>
          <w:szCs w:val="20"/>
          <w:lang w:val="en-US"/>
        </w:rPr>
      </w:pPr>
      <w:r>
        <w:rPr>
          <w:rFonts w:hint="eastAsia" w:ascii="宋体" w:hAnsi="宋体"/>
          <w:b/>
          <w:color w:val="000000"/>
          <w:sz w:val="20"/>
          <w:szCs w:val="20"/>
        </w:rPr>
        <w:t>部门：</w:t>
      </w:r>
      <w:r>
        <w:rPr>
          <w:rFonts w:hint="eastAsia" w:ascii="宋体" w:hAnsi="宋体"/>
          <w:b/>
          <w:color w:val="000000"/>
          <w:sz w:val="20"/>
          <w:szCs w:val="20"/>
          <w:lang w:val="en-US" w:eastAsia="zh-CN"/>
        </w:rPr>
        <w:t>综合</w:t>
      </w:r>
      <w:r>
        <w:rPr>
          <w:rFonts w:hint="eastAsia" w:ascii="宋体" w:hAnsi="宋体"/>
          <w:b/>
          <w:color w:val="000000"/>
          <w:sz w:val="20"/>
          <w:szCs w:val="20"/>
        </w:rPr>
        <w:t>部、</w:t>
      </w:r>
      <w:r>
        <w:rPr>
          <w:rFonts w:hint="eastAsia" w:ascii="宋体" w:hAnsi="宋体"/>
          <w:b/>
          <w:color w:val="000000"/>
          <w:sz w:val="20"/>
          <w:szCs w:val="20"/>
          <w:lang w:val="en-US" w:eastAsia="zh-CN"/>
        </w:rPr>
        <w:t>项目部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场所：办公场所、项目现场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t>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综合部、项目部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项目部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重庆市九龙坡区石杨路25-5-1、2、3、6、7、8、9号</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1个，</w:t>
            </w:r>
            <w:r>
              <w:rPr>
                <w:rFonts w:hint="eastAsia"/>
                <w:color w:val="000000"/>
                <w:lang w:val="en-US" w:eastAsia="zh-CN"/>
              </w:rPr>
              <w:t>重庆市沙坪坝区凤天大道154号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重庆市九龙坡区石杨路25-5-1、2、3、6、7、8、9号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auto"/>
                <w:spacing w:val="-10"/>
                <w:sz w:val="20"/>
                <w:szCs w:val="20"/>
                <w:lang w:eastAsia="zh-CN"/>
              </w:rPr>
              <w:t>■</w:t>
            </w:r>
            <w:r>
              <w:rPr>
                <w:rFonts w:hint="eastAsia" w:ascii="宋体" w:hAnsi="宋体"/>
                <w:color w:val="auto"/>
                <w:spacing w:val="-10"/>
                <w:sz w:val="20"/>
                <w:szCs w:val="20"/>
              </w:rPr>
              <w:t>产品技术标准号：</w:t>
            </w:r>
            <w:r>
              <w:rPr>
                <w:rFonts w:hint="eastAsia"/>
                <w:color w:val="auto"/>
                <w:sz w:val="21"/>
                <w:szCs w:val="21"/>
              </w:rPr>
              <w:t>《重庆市物业管理条例》、《重庆市物业服务收费管理办法》、</w:t>
            </w:r>
            <w:r>
              <w:rPr>
                <w:rFonts w:hint="eastAsia"/>
                <w:color w:val="auto"/>
                <w:sz w:val="21"/>
                <w:szCs w:val="21"/>
                <w:lang w:eastAsia="zh-CN"/>
              </w:rPr>
              <w:t>《</w:t>
            </w:r>
            <w:r>
              <w:rPr>
                <w:rFonts w:hint="eastAsia"/>
                <w:color w:val="auto"/>
                <w:sz w:val="21"/>
                <w:szCs w:val="21"/>
              </w:rPr>
              <w:t>重庆市电梯维修使用管理办法</w:t>
            </w:r>
            <w:r>
              <w:rPr>
                <w:rFonts w:hint="eastAsia"/>
                <w:color w:val="auto"/>
                <w:sz w:val="21"/>
                <w:szCs w:val="21"/>
                <w:lang w:eastAsia="zh-CN"/>
              </w:rPr>
              <w:t>》、《</w:t>
            </w:r>
            <w:r>
              <w:rPr>
                <w:rFonts w:hint="eastAsia"/>
                <w:color w:val="auto"/>
                <w:sz w:val="21"/>
                <w:szCs w:val="21"/>
              </w:rPr>
              <w:t>重庆市容环境卫生管理条例</w:t>
            </w:r>
            <w:r>
              <w:rPr>
                <w:rFonts w:hint="eastAsia"/>
                <w:color w:val="auto"/>
                <w:sz w:val="21"/>
                <w:szCs w:val="21"/>
                <w:lang w:eastAsia="zh-CN"/>
              </w:rPr>
              <w:t>》</w:t>
            </w:r>
            <w:r>
              <w:rPr>
                <w:rFonts w:hint="eastAsia"/>
                <w:color w:val="auto"/>
                <w:sz w:val="21"/>
                <w:szCs w:val="21"/>
                <w:lang w:val="en-US" w:eastAsia="zh-CN"/>
              </w:rPr>
              <w:t>及客户协议</w:t>
            </w:r>
            <w:r>
              <w:rPr>
                <w:rFonts w:hint="eastAsia"/>
                <w:color w:val="auto"/>
                <w:sz w:val="21"/>
                <w:szCs w:val="21"/>
              </w:rPr>
              <w:t>等</w:t>
            </w:r>
            <w:r>
              <w:rPr>
                <w:rFonts w:hint="eastAsia" w:ascii="宋体" w:hAnsi="宋体"/>
                <w:color w:val="auto"/>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是否需要型式试验</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否，是否有</w:t>
            </w:r>
            <w:r>
              <w:rPr>
                <w:rFonts w:hint="eastAsia" w:ascii="宋体"/>
                <w:color w:val="auto"/>
                <w:sz w:val="20"/>
                <w:szCs w:val="20"/>
              </w:rPr>
              <w:t>型式试验</w:t>
            </w:r>
            <w:r>
              <w:rPr>
                <w:rFonts w:hint="eastAsia" w:ascii="宋体" w:hAnsi="宋体"/>
                <w:color w:val="auto"/>
                <w:sz w:val="20"/>
                <w:szCs w:val="20"/>
              </w:rPr>
              <w:t>报告</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是否接受了行政主管部门的抽查</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z w:val="20"/>
                <w:szCs w:val="20"/>
                <w:lang w:eastAsia="zh-CN"/>
              </w:rPr>
              <w:t>■</w:t>
            </w:r>
            <w:r>
              <w:rPr>
                <w:rFonts w:hint="eastAsia" w:ascii="宋体" w:hAnsi="宋体"/>
                <w:color w:val="auto"/>
                <w:sz w:val="20"/>
                <w:szCs w:val="20"/>
              </w:rPr>
              <w:t>否，抽查结果</w:t>
            </w:r>
            <w:r>
              <w:rPr>
                <w:rFonts w:hint="eastAsia" w:ascii="宋体" w:hAnsi="宋体"/>
                <w:color w:val="auto"/>
                <w:spacing w:val="-10"/>
                <w:sz w:val="20"/>
                <w:szCs w:val="20"/>
              </w:rPr>
              <w:t>□</w:t>
            </w:r>
            <w:r>
              <w:rPr>
                <w:rFonts w:hint="eastAsia" w:ascii="宋体" w:hAnsi="宋体"/>
                <w:color w:val="auto"/>
                <w:sz w:val="20"/>
                <w:szCs w:val="20"/>
              </w:rPr>
              <w:t>合格</w:t>
            </w:r>
            <w:r>
              <w:rPr>
                <w:rFonts w:hint="eastAsia" w:ascii="宋体" w:hAnsi="宋体"/>
                <w:color w:val="auto"/>
                <w:spacing w:val="-10"/>
                <w:sz w:val="20"/>
                <w:szCs w:val="20"/>
              </w:rPr>
              <w:t>□</w:t>
            </w:r>
            <w:r>
              <w:rPr>
                <w:rFonts w:hint="eastAsia" w:ascii="宋体" w:hAnsi="宋体"/>
                <w:color w:val="auto"/>
                <w:sz w:val="20"/>
                <w:szCs w:val="20"/>
              </w:rPr>
              <w:t>不合格</w:t>
            </w:r>
          </w:p>
          <w:p>
            <w:pPr>
              <w:rPr>
                <w:rFonts w:ascii="宋体"/>
                <w:color w:val="auto"/>
                <w:sz w:val="20"/>
                <w:szCs w:val="20"/>
              </w:rPr>
            </w:pPr>
            <w:r>
              <w:rPr>
                <w:rFonts w:hint="eastAsia" w:ascii="宋体" w:hAnsi="宋体"/>
                <w:color w:val="auto"/>
                <w:sz w:val="20"/>
                <w:szCs w:val="20"/>
              </w:rPr>
              <w:t>是否列入当地政府黑名单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p>
            <w:pPr>
              <w:rPr>
                <w:rFonts w:ascii="宋体"/>
                <w:color w:val="auto"/>
                <w:spacing w:val="-10"/>
                <w:sz w:val="20"/>
                <w:szCs w:val="20"/>
              </w:rPr>
            </w:pPr>
            <w:r>
              <w:rPr>
                <w:rFonts w:hint="eastAsia" w:ascii="宋体" w:hAnsi="宋体"/>
                <w:color w:val="auto"/>
                <w:sz w:val="20"/>
                <w:szCs w:val="20"/>
              </w:rPr>
              <w:t>是否有重大顾客投诉</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1"/>
                <w:szCs w:val="21"/>
                <w:highlight w:val="none"/>
              </w:rPr>
              <w:t>环境执行标准：</w:t>
            </w:r>
            <w:r>
              <w:rPr>
                <w:rFonts w:hint="eastAsia" w:ascii="宋体" w:hAnsi="宋体"/>
                <w:sz w:val="21"/>
                <w:szCs w:val="21"/>
                <w:highlight w:val="none"/>
              </w:rPr>
              <w:t>污水排入城镇下水道水质标准（</w:t>
            </w:r>
            <w:r>
              <w:rPr>
                <w:rFonts w:ascii="宋体" w:hAnsi="宋体"/>
                <w:sz w:val="21"/>
                <w:szCs w:val="21"/>
                <w:highlight w:val="none"/>
              </w:rPr>
              <w:t>GB/T 31962-2015</w:t>
            </w:r>
            <w:r>
              <w:rPr>
                <w:rFonts w:hint="eastAsia" w:ascii="宋体" w:hAnsi="宋体"/>
                <w:sz w:val="21"/>
                <w:szCs w:val="21"/>
                <w:highlight w:val="none"/>
              </w:rPr>
              <w:t>）、大气污染物综合排放标准（</w:t>
            </w:r>
            <w:r>
              <w:rPr>
                <w:rFonts w:ascii="宋体" w:hAnsi="宋体"/>
                <w:sz w:val="21"/>
                <w:szCs w:val="21"/>
                <w:highlight w:val="none"/>
              </w:rPr>
              <w:t>GB 16297-1996</w:t>
            </w:r>
            <w:r>
              <w:rPr>
                <w:rFonts w:hint="eastAsia" w:ascii="宋体" w:hAnsi="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hAnsi="宋体"/>
                <w:color w:val="auto"/>
                <w:szCs w:val="21"/>
              </w:rPr>
            </w:pPr>
            <w:r>
              <w:rPr>
                <w:rFonts w:hint="eastAsia" w:ascii="宋体" w:hAnsi="宋体"/>
                <w:color w:val="auto"/>
                <w:szCs w:val="21"/>
              </w:rPr>
              <w:t>物业管理服务流程：</w:t>
            </w:r>
          </w:p>
          <w:p>
            <w:pPr>
              <w:rPr>
                <w:rFonts w:ascii="宋体"/>
                <w:color w:val="auto"/>
                <w:sz w:val="20"/>
                <w:szCs w:val="20"/>
              </w:rPr>
            </w:pPr>
            <w:r>
              <w:rPr>
                <w:rFonts w:hint="eastAsia" w:ascii="宋体" w:hAnsi="宋体"/>
                <w:color w:val="auto"/>
                <w:szCs w:val="21"/>
                <w:highlight w:val="none"/>
              </w:rPr>
              <w:t>签订合同——确定物业管理服务区域——安排物业管理服务人员——分配物业管理区域——进行物业管理服务。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auto"/>
                <w:sz w:val="20"/>
                <w:szCs w:val="20"/>
              </w:rPr>
            </w:pPr>
            <w:r>
              <w:rPr>
                <w:rFonts w:hint="eastAsia" w:ascii="宋体" w:hAnsi="宋体"/>
                <w:color w:val="auto"/>
                <w:sz w:val="20"/>
                <w:szCs w:val="20"/>
              </w:rPr>
              <w:t>关键过程有：服务过程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auto"/>
                <w:sz w:val="20"/>
                <w:szCs w:val="20"/>
                <w:lang w:eastAsia="zh-CN"/>
              </w:rPr>
            </w:pPr>
            <w:r>
              <w:rPr>
                <w:rFonts w:hint="eastAsia" w:ascii="宋体" w:hAnsi="宋体"/>
                <w:color w:val="auto"/>
                <w:sz w:val="20"/>
                <w:szCs w:val="20"/>
              </w:rPr>
              <w:t>针对关键过程建立的控制文件有：物业服务管理程序</w:t>
            </w:r>
            <w:r>
              <w:rPr>
                <w:rFonts w:hint="eastAsia" w:ascii="宋体" w:hAnsi="宋体"/>
                <w:color w:val="auto"/>
                <w:sz w:val="20"/>
                <w:szCs w:val="20"/>
                <w:lang w:eastAsia="zh-CN"/>
              </w:rPr>
              <w:t>、安保服务管理制度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z w:val="20"/>
                <w:szCs w:val="20"/>
              </w:rPr>
              <w:t>需要确认过程：服务过程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外包过程有：电梯维保，垃圾清运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是否明确了外包过程的控制方法：客户和外部供方财产管理程序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color w:val="auto"/>
              </w:rPr>
              <w:t>电脑及办公设备（打印机、复印机、空调等）、</w:t>
            </w:r>
            <w:r>
              <w:rPr>
                <w:rFonts w:hint="eastAsia"/>
                <w:color w:val="auto"/>
                <w:highlight w:val="none"/>
                <w:lang w:val="en-US" w:eastAsia="zh-CN"/>
              </w:rPr>
              <w:t>洗地机、绿篱机、扫地机、吹风机、角磨机、手电钻、</w:t>
            </w:r>
            <w:r>
              <w:rPr>
                <w:color w:val="auto"/>
              </w:rPr>
              <w:t>对讲机</w:t>
            </w:r>
            <w:r>
              <w:rPr>
                <w:rFonts w:hint="eastAsia"/>
                <w:color w:val="auto"/>
              </w:rPr>
              <w:t>、手电</w:t>
            </w:r>
            <w:r>
              <w:rPr>
                <w:color w:val="auto"/>
              </w:rPr>
              <w:t>等</w:t>
            </w:r>
            <w:r>
              <w:rPr>
                <w:rStyle w:val="16"/>
                <w:rFonts w:hint="eastAsia" w:ascii="宋体" w:hAnsi="宋体"/>
                <w:color w:val="FF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color w:val="auto"/>
                <w:sz w:val="20"/>
                <w:szCs w:val="20"/>
                <w:lang w:eastAsia="zh-CN"/>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ascii="宋体"/>
                <w:color w:val="000000"/>
                <w:sz w:val="20"/>
                <w:szCs w:val="20"/>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数字钳形表</w:t>
            </w:r>
            <w:r>
              <w:rPr>
                <w:rFonts w:hint="eastAsia" w:ascii="宋体" w:eastAsia="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color w:val="000000"/>
                <w:sz w:val="20"/>
                <w:szCs w:val="20"/>
              </w:rPr>
              <w:t>检测设备是否满足要求□是</w:t>
            </w:r>
            <w:r>
              <w:rPr>
                <w:rFonts w:hint="eastAsia" w:ascii="宋体" w:hAnsi="宋体" w:eastAsia="宋体" w:cs="宋体"/>
                <w:color w:val="000000"/>
                <w:sz w:val="20"/>
                <w:szCs w:val="20"/>
              </w:rPr>
              <w:t>■</w:t>
            </w:r>
            <w:r>
              <w:rPr>
                <w:rFonts w:hint="eastAsia" w:ascii="宋体"/>
                <w:color w:val="000000"/>
                <w:sz w:val="20"/>
                <w:szCs w:val="20"/>
              </w:rPr>
              <w:t>否</w:t>
            </w:r>
            <w:r>
              <w:rPr>
                <w:rFonts w:hint="eastAsia" w:ascii="宋体"/>
                <w:color w:val="000000"/>
                <w:sz w:val="20"/>
                <w:szCs w:val="20"/>
                <w:lang w:eastAsia="zh-CN"/>
              </w:rPr>
              <w:t>。</w:t>
            </w:r>
            <w:r>
              <w:rPr>
                <w:rFonts w:hint="eastAsia" w:ascii="宋体" w:eastAsia="宋体"/>
                <w:color w:val="000000"/>
                <w:sz w:val="20"/>
                <w:szCs w:val="20"/>
                <w:lang w:val="en-US" w:eastAsia="zh-CN"/>
              </w:rPr>
              <w:t>不能提供</w:t>
            </w:r>
            <w:r>
              <w:rPr>
                <w:rFonts w:hint="eastAsia" w:ascii="宋体"/>
                <w:color w:val="000000"/>
                <w:sz w:val="20"/>
                <w:szCs w:val="20"/>
                <w:lang w:val="en-US" w:eastAsia="zh-CN"/>
              </w:rPr>
              <w:t>数字钳形表</w:t>
            </w:r>
            <w:r>
              <w:rPr>
                <w:rFonts w:hint="eastAsia" w:ascii="宋体" w:eastAsia="宋体"/>
                <w:color w:val="000000"/>
                <w:sz w:val="20"/>
                <w:szCs w:val="20"/>
                <w:lang w:val="en-US" w:eastAsia="zh-CN"/>
              </w:rPr>
              <w:t>的有效校准报告</w:t>
            </w:r>
            <w:r>
              <w:rPr>
                <w:rFonts w:hint="eastAsia" w:ascii="宋体" w:eastAsia="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eastAsia" w:ascii="宋体" w:hAnsi="宋体" w:cs="宋体"/>
                <w:szCs w:val="21"/>
              </w:rPr>
              <w:t>1）潜在火灾；2）固废</w:t>
            </w:r>
            <w:r>
              <w:rPr>
                <w:rFonts w:hint="eastAsia" w:ascii="宋体" w:hAnsi="宋体" w:cs="宋体"/>
                <w:szCs w:val="21"/>
                <w:lang w:val="en-US" w:eastAsia="zh-CN"/>
              </w:rPr>
              <w:t>排放</w:t>
            </w:r>
            <w:r>
              <w:rPr>
                <w:rFonts w:hint="eastAsia" w:ascii="宋体" w:hAnsi="宋体" w:cs="宋体"/>
                <w:szCs w:val="21"/>
              </w:rPr>
              <w:t>；</w:t>
            </w:r>
            <w:r>
              <w:rPr>
                <w:rFonts w:hint="eastAsia" w:ascii="宋体" w:hAnsi="宋体" w:cs="宋体"/>
                <w:szCs w:val="21"/>
                <w:lang w:val="en-US" w:eastAsia="zh-CN"/>
              </w:rPr>
              <w:t>3）粉尘排放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应急预案有：火灾</w:t>
            </w:r>
            <w:r>
              <w:rPr>
                <w:rFonts w:hint="eastAsia" w:ascii="宋体"/>
                <w:color w:val="000000"/>
                <w:sz w:val="20"/>
                <w:szCs w:val="20"/>
                <w:lang w:eastAsia="zh-CN"/>
              </w:rPr>
              <w:t>、</w:t>
            </w:r>
            <w:r>
              <w:rPr>
                <w:rFonts w:hint="eastAsia" w:ascii="宋体"/>
                <w:color w:val="000000"/>
                <w:sz w:val="20"/>
                <w:szCs w:val="20"/>
                <w:lang w:val="en-US" w:eastAsia="zh-CN"/>
              </w:rPr>
              <w:t>防暴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宋体"/>
                <w:szCs w:val="21"/>
              </w:rPr>
              <w:t>1）火灾、2）意外伤害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64</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auto"/>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w:t>
            </w:r>
            <w:r>
              <w:rPr>
                <w:rFonts w:hint="eastAsia" w:ascii="宋体"/>
                <w:color w:val="auto"/>
                <w:sz w:val="20"/>
                <w:szCs w:val="20"/>
              </w:rPr>
              <w:t>所</w:t>
            </w:r>
            <w:r>
              <w:rPr>
                <w:rFonts w:ascii="宋体"/>
                <w:color w:val="auto"/>
                <w:sz w:val="20"/>
                <w:szCs w:val="20"/>
              </w:rPr>
              <w:t>3</w:t>
            </w:r>
            <w:r>
              <w:rPr>
                <w:rFonts w:hint="eastAsia" w:ascii="宋体"/>
                <w:color w:val="auto"/>
                <w:sz w:val="20"/>
                <w:szCs w:val="20"/>
              </w:rPr>
              <w:t>：人，场所</w:t>
            </w:r>
            <w:r>
              <w:rPr>
                <w:rFonts w:ascii="宋体"/>
                <w:color w:val="auto"/>
                <w:sz w:val="20"/>
                <w:szCs w:val="20"/>
              </w:rPr>
              <w:t>4</w:t>
            </w:r>
            <w:r>
              <w:rPr>
                <w:rFonts w:hint="eastAsia" w:ascii="宋体"/>
                <w:color w:val="auto"/>
                <w:sz w:val="20"/>
                <w:szCs w:val="20"/>
              </w:rPr>
              <w:t>：人</w:t>
            </w:r>
          </w:p>
          <w:p>
            <w:pPr>
              <w:spacing w:line="360" w:lineRule="auto"/>
              <w:rPr>
                <w:rFonts w:ascii="宋体"/>
                <w:color w:val="auto"/>
                <w:sz w:val="20"/>
                <w:szCs w:val="20"/>
              </w:rPr>
            </w:pPr>
            <w:r>
              <w:rPr>
                <w:rFonts w:hint="eastAsia" w:ascii="宋体"/>
                <w:color w:val="auto"/>
                <w:sz w:val="20"/>
                <w:szCs w:val="20"/>
              </w:rPr>
              <w:t>有临时场所时，场所</w:t>
            </w:r>
            <w:r>
              <w:rPr>
                <w:rFonts w:ascii="宋体"/>
                <w:color w:val="auto"/>
                <w:sz w:val="20"/>
                <w:szCs w:val="20"/>
              </w:rPr>
              <w:t>1</w:t>
            </w:r>
            <w:r>
              <w:rPr>
                <w:rFonts w:hint="eastAsia" w:ascii="宋体"/>
                <w:color w:val="auto"/>
                <w:sz w:val="20"/>
                <w:szCs w:val="20"/>
              </w:rPr>
              <w:t>：</w:t>
            </w:r>
            <w:r>
              <w:rPr>
                <w:rFonts w:hint="eastAsia" w:ascii="宋体"/>
                <w:color w:val="auto"/>
                <w:sz w:val="20"/>
                <w:szCs w:val="20"/>
                <w:lang w:val="en-US" w:eastAsia="zh-CN"/>
              </w:rPr>
              <w:t>10</w:t>
            </w:r>
            <w:r>
              <w:rPr>
                <w:rFonts w:hint="eastAsia" w:ascii="宋体"/>
                <w:color w:val="auto"/>
                <w:sz w:val="20"/>
                <w:szCs w:val="20"/>
              </w:rPr>
              <w:t>人，场所</w:t>
            </w:r>
            <w:r>
              <w:rPr>
                <w:rFonts w:ascii="宋体"/>
                <w:color w:val="auto"/>
                <w:sz w:val="20"/>
                <w:szCs w:val="20"/>
              </w:rPr>
              <w:t>2</w:t>
            </w:r>
            <w:r>
              <w:rPr>
                <w:rFonts w:hint="eastAsia" w:ascii="宋体"/>
                <w:color w:val="auto"/>
                <w:sz w:val="20"/>
                <w:szCs w:val="20"/>
              </w:rPr>
              <w:t>：人，场所</w:t>
            </w:r>
            <w:r>
              <w:rPr>
                <w:rFonts w:ascii="宋体"/>
                <w:color w:val="auto"/>
                <w:sz w:val="20"/>
                <w:szCs w:val="20"/>
              </w:rPr>
              <w:t>3</w:t>
            </w:r>
            <w:r>
              <w:rPr>
                <w:rFonts w:hint="eastAsia" w:ascii="宋体"/>
                <w:color w:val="auto"/>
                <w:sz w:val="20"/>
                <w:szCs w:val="20"/>
              </w:rPr>
              <w:t>：人，场所</w:t>
            </w:r>
            <w:r>
              <w:rPr>
                <w:rFonts w:ascii="宋体"/>
                <w:color w:val="auto"/>
                <w:sz w:val="20"/>
                <w:szCs w:val="20"/>
              </w:rPr>
              <w:t>4</w:t>
            </w:r>
            <w:r>
              <w:rPr>
                <w:rFonts w:hint="eastAsia" w:ascii="宋体"/>
                <w:color w:val="auto"/>
                <w:sz w:val="20"/>
                <w:szCs w:val="20"/>
              </w:rPr>
              <w:t>：人</w:t>
            </w:r>
          </w:p>
          <w:p>
            <w:pPr>
              <w:spacing w:line="260" w:lineRule="exact"/>
              <w:rPr>
                <w:rFonts w:ascii="宋体" w:hAnsi="宋体"/>
                <w:b/>
                <w:color w:val="auto"/>
                <w:szCs w:val="21"/>
              </w:rPr>
            </w:pPr>
            <w:r>
              <w:rPr>
                <w:rFonts w:hint="eastAsia" w:ascii="宋体" w:hAnsi="宋体"/>
                <w:b/>
                <w:color w:val="auto"/>
                <w:szCs w:val="21"/>
              </w:rPr>
              <w:t>▲依据场所分布、距离</w:t>
            </w:r>
            <w:r>
              <w:rPr>
                <w:rFonts w:ascii="宋体" w:hAnsi="宋体"/>
                <w:b/>
                <w:color w:val="auto"/>
                <w:szCs w:val="21"/>
              </w:rPr>
              <w:t xml:space="preserve">;  </w:t>
            </w:r>
          </w:p>
          <w:p>
            <w:pPr>
              <w:spacing w:line="260" w:lineRule="exact"/>
              <w:rPr>
                <w:rFonts w:ascii="宋体"/>
                <w:b/>
                <w:color w:val="auto"/>
                <w:szCs w:val="21"/>
              </w:rPr>
            </w:pPr>
            <w:r>
              <w:rPr>
                <w:rFonts w:hint="eastAsia" w:ascii="宋体" w:hAnsi="宋体"/>
                <w:color w:val="auto"/>
                <w:szCs w:val="21"/>
              </w:rPr>
              <w:t>临时场所：</w:t>
            </w:r>
            <w:r>
              <w:rPr>
                <w:rFonts w:hint="eastAsia"/>
                <w:color w:val="auto"/>
                <w:lang w:val="en-US" w:eastAsia="zh-CN"/>
              </w:rPr>
              <w:t>重庆市沙坪坝区凤天大道154号</w:t>
            </w:r>
            <w:r>
              <w:rPr>
                <w:rFonts w:hint="eastAsia"/>
                <w:color w:val="auto"/>
              </w:rPr>
              <w:t>距离公司30分钟路程</w:t>
            </w:r>
            <w:r>
              <w:rPr>
                <w:rFonts w:ascii="宋体" w:hAnsi="宋体"/>
                <w:b/>
                <w:color w:val="auto"/>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重点审核部门：项目部</w:t>
            </w:r>
          </w:p>
          <w:p>
            <w:pPr>
              <w:spacing w:line="360" w:lineRule="auto"/>
              <w:rPr>
                <w:rFonts w:ascii="宋体"/>
                <w:b/>
                <w:color w:val="000000"/>
                <w:sz w:val="20"/>
                <w:szCs w:val="20"/>
              </w:rPr>
            </w:pPr>
            <w:r>
              <w:rPr>
                <w:rFonts w:hint="eastAsia" w:ascii="宋体" w:hAnsi="宋体"/>
                <w:b/>
                <w:color w:val="000000"/>
                <w:sz w:val="20"/>
                <w:szCs w:val="20"/>
              </w:rPr>
              <w:t>重点审核过程：服务过程</w:t>
            </w:r>
          </w:p>
          <w:p>
            <w:pPr>
              <w:spacing w:line="360" w:lineRule="auto"/>
              <w:rPr>
                <w:rFonts w:ascii="宋体"/>
                <w:b/>
                <w:color w:val="000000"/>
                <w:sz w:val="20"/>
                <w:szCs w:val="20"/>
              </w:rPr>
            </w:pPr>
            <w:r>
              <w:rPr>
                <w:rFonts w:hint="eastAsia" w:ascii="宋体" w:hAnsi="宋体"/>
                <w:b/>
                <w:color w:val="000000"/>
                <w:sz w:val="20"/>
                <w:szCs w:val="20"/>
              </w:rPr>
              <w:t>重点审核场所：项目现场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重点审核部门：项目部</w:t>
            </w:r>
          </w:p>
          <w:p>
            <w:pPr>
              <w:spacing w:line="260" w:lineRule="exact"/>
              <w:rPr>
                <w:rFonts w:ascii="宋体"/>
                <w:b/>
                <w:color w:val="000000"/>
                <w:sz w:val="20"/>
                <w:szCs w:val="20"/>
              </w:rPr>
            </w:pPr>
            <w:r>
              <w:rPr>
                <w:rFonts w:hint="eastAsia" w:ascii="宋体" w:hAnsi="宋体"/>
                <w:b/>
                <w:color w:val="000000"/>
                <w:sz w:val="20"/>
                <w:szCs w:val="20"/>
              </w:rPr>
              <w:t>重点审核场所：项目现场</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重点审核部门：项目部</w:t>
            </w:r>
          </w:p>
          <w:p>
            <w:pPr>
              <w:spacing w:line="260" w:lineRule="exact"/>
              <w:rPr>
                <w:rFonts w:ascii="宋体"/>
                <w:b/>
                <w:color w:val="000000"/>
                <w:sz w:val="20"/>
                <w:szCs w:val="20"/>
              </w:rPr>
            </w:pPr>
            <w:r>
              <w:rPr>
                <w:rFonts w:hint="eastAsia" w:ascii="宋体" w:hAnsi="宋体"/>
                <w:b/>
                <w:color w:val="000000"/>
                <w:sz w:val="20"/>
                <w:szCs w:val="20"/>
              </w:rPr>
              <w:t>重点审核场所：项目现场</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1"/>
                <w:szCs w:val="21"/>
              </w:rPr>
            </w:pPr>
            <w:r>
              <w:rPr>
                <w:rFonts w:hint="eastAsia" w:ascii="宋体" w:hAnsi="宋体"/>
                <w:b/>
                <w:color w:val="000000"/>
                <w:sz w:val="21"/>
                <w:szCs w:val="21"/>
              </w:rPr>
              <w:t>内部审核</w:t>
            </w:r>
          </w:p>
        </w:tc>
        <w:tc>
          <w:tcPr>
            <w:tcW w:w="8221" w:type="dxa"/>
          </w:tcPr>
          <w:p>
            <w:pPr>
              <w:spacing w:line="260" w:lineRule="exact"/>
              <w:rPr>
                <w:rFonts w:ascii="宋体"/>
                <w:b/>
                <w:color w:val="000000"/>
                <w:sz w:val="21"/>
                <w:szCs w:val="21"/>
              </w:rPr>
            </w:pPr>
            <w:r>
              <w:rPr>
                <w:rFonts w:hint="eastAsia" w:ascii="宋体" w:hAnsi="宋体"/>
                <w:b/>
                <w:color w:val="000000"/>
                <w:sz w:val="21"/>
                <w:szCs w:val="21"/>
              </w:rPr>
              <w:t>了解内审的策划</w:t>
            </w:r>
            <w:r>
              <w:rPr>
                <w:rFonts w:ascii="宋体" w:hAnsi="宋体"/>
                <w:b/>
                <w:color w:val="000000"/>
                <w:sz w:val="21"/>
                <w:szCs w:val="21"/>
              </w:rPr>
              <w:t xml:space="preserve">; </w:t>
            </w:r>
            <w:r>
              <w:rPr>
                <w:rFonts w:hint="eastAsia" w:ascii="Times New Roman" w:hAnsi="Times New Roman" w:eastAsia="宋体" w:cs="Times New Roman"/>
                <w:sz w:val="21"/>
                <w:szCs w:val="21"/>
              </w:rPr>
              <w:t>建立有《内部审核控制程序》，于2020年</w:t>
            </w:r>
            <w:r>
              <w:rPr>
                <w:rFonts w:hint="eastAsia" w:ascii="Times New Roman" w:hAnsi="Times New Roman" w:eastAsia="宋体" w:cs="Times New Roman"/>
                <w:sz w:val="21"/>
                <w:szCs w:val="21"/>
                <w:lang w:val="en-US" w:eastAsia="zh-CN"/>
              </w:rPr>
              <w:t>11</w:t>
            </w:r>
            <w:r>
              <w:rPr>
                <w:rFonts w:hint="eastAsia" w:ascii="Times New Roman" w:hAnsi="Times New Roman" w:eastAsia="宋体" w:cs="Times New Roman"/>
                <w:sz w:val="21"/>
                <w:szCs w:val="21"/>
              </w:rPr>
              <w:t>月18日进行了内部审核。内部审核组由：谭巧玲 （组长）、康勇（组员）组成。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1"/>
                <w:szCs w:val="21"/>
              </w:rPr>
            </w:pPr>
          </w:p>
        </w:tc>
        <w:tc>
          <w:tcPr>
            <w:tcW w:w="8221" w:type="dxa"/>
          </w:tcPr>
          <w:p>
            <w:pPr>
              <w:spacing w:line="260" w:lineRule="exact"/>
              <w:rPr>
                <w:rFonts w:ascii="宋体" w:hAnsi="宋体"/>
                <w:b/>
                <w:color w:val="000000"/>
                <w:sz w:val="21"/>
                <w:szCs w:val="21"/>
              </w:rPr>
            </w:pPr>
            <w:r>
              <w:rPr>
                <w:rFonts w:hint="eastAsia" w:ascii="宋体" w:hAnsi="宋体"/>
                <w:b/>
                <w:color w:val="000000"/>
                <w:sz w:val="21"/>
                <w:szCs w:val="21"/>
              </w:rPr>
              <w:t>了解内审是否覆盖了管理体系范围内的活动及标准的要求</w:t>
            </w:r>
            <w:r>
              <w:rPr>
                <w:rFonts w:ascii="宋体" w:hAnsi="宋体"/>
                <w:b/>
                <w:color w:val="000000"/>
                <w:sz w:val="21"/>
                <w:szCs w:val="21"/>
              </w:rPr>
              <w:t xml:space="preserve">; </w:t>
            </w:r>
          </w:p>
          <w:p>
            <w:pPr>
              <w:spacing w:line="260" w:lineRule="exact"/>
              <w:rPr>
                <w:sz w:val="21"/>
                <w:szCs w:val="21"/>
              </w:rPr>
            </w:pPr>
            <w:r>
              <w:rPr>
                <w:rFonts w:hint="eastAsia"/>
                <w:sz w:val="21"/>
                <w:szCs w:val="21"/>
              </w:rPr>
              <w:t>1、审核范围:管理体系涉及的公司所有部门、服务场所。</w:t>
            </w:r>
          </w:p>
          <w:p>
            <w:pPr>
              <w:spacing w:line="260" w:lineRule="exact"/>
              <w:rPr>
                <w:rFonts w:ascii="宋体" w:hAnsi="宋体"/>
                <w:b/>
                <w:color w:val="000000"/>
                <w:sz w:val="21"/>
                <w:szCs w:val="21"/>
              </w:rPr>
            </w:pPr>
            <w:r>
              <w:rPr>
                <w:rFonts w:hint="eastAsia"/>
                <w:sz w:val="21"/>
                <w:szCs w:val="21"/>
              </w:rPr>
              <w:t>2、审核准则：a</w:t>
            </w:r>
            <w:r>
              <w:rPr>
                <w:rFonts w:hint="eastAsia" w:ascii="宋体" w:hAnsi="宋体"/>
                <w:snapToGrid w:val="0"/>
                <w:color w:val="000000"/>
                <w:kern w:val="0"/>
                <w:sz w:val="21"/>
                <w:szCs w:val="21"/>
              </w:rPr>
              <w:t>.Q.GB/T 19001-2016idtISO 9001:2015,E：GB/T 24001-2016idtISO 14001:2015,O：ISO 45001：2018</w:t>
            </w:r>
            <w:r>
              <w:rPr>
                <w:rFonts w:hint="eastAsia"/>
                <w:sz w:val="21"/>
                <w:szCs w:val="21"/>
              </w:rPr>
              <w:t>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1"/>
                <w:szCs w:val="21"/>
              </w:rPr>
            </w:pPr>
          </w:p>
        </w:tc>
        <w:tc>
          <w:tcPr>
            <w:tcW w:w="8221" w:type="dxa"/>
          </w:tcPr>
          <w:p>
            <w:pPr>
              <w:spacing w:line="260" w:lineRule="exact"/>
              <w:rPr>
                <w:rFonts w:ascii="宋体" w:hAnsi="宋体"/>
                <w:b/>
                <w:color w:val="000000"/>
                <w:sz w:val="21"/>
                <w:szCs w:val="21"/>
              </w:rPr>
            </w:pPr>
            <w:r>
              <w:rPr>
                <w:rFonts w:hint="eastAsia" w:ascii="宋体" w:hAnsi="宋体"/>
                <w:b/>
                <w:color w:val="000000"/>
                <w:sz w:val="21"/>
                <w:szCs w:val="21"/>
              </w:rPr>
              <w:t>了解内审结论是什么？</w:t>
            </w:r>
          </w:p>
          <w:p>
            <w:pPr>
              <w:spacing w:line="260" w:lineRule="exact"/>
              <w:ind w:firstLine="420" w:firstLineChars="200"/>
              <w:rPr>
                <w:sz w:val="21"/>
                <w:szCs w:val="21"/>
              </w:rPr>
            </w:pPr>
            <w:r>
              <w:rPr>
                <w:rFonts w:hint="eastAsia"/>
                <w:sz w:val="21"/>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1"/>
                <w:szCs w:val="21"/>
              </w:rPr>
            </w:pPr>
            <w:r>
              <w:rPr>
                <w:rFonts w:hint="eastAsia"/>
                <w:sz w:val="21"/>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1"/>
                <w:szCs w:val="21"/>
              </w:rPr>
            </w:pPr>
            <w:r>
              <w:rPr>
                <w:rFonts w:hint="eastAsia" w:ascii="宋体" w:hAnsi="宋体"/>
                <w:b/>
                <w:color w:val="000000"/>
                <w:sz w:val="21"/>
                <w:szCs w:val="21"/>
              </w:rPr>
              <w:t>管理评审</w:t>
            </w:r>
          </w:p>
        </w:tc>
        <w:tc>
          <w:tcPr>
            <w:tcW w:w="8221" w:type="dxa"/>
          </w:tcPr>
          <w:p>
            <w:pPr>
              <w:spacing w:line="260" w:lineRule="exact"/>
              <w:rPr>
                <w:rFonts w:ascii="宋体"/>
                <w:b/>
                <w:color w:val="000000"/>
                <w:sz w:val="21"/>
                <w:szCs w:val="21"/>
              </w:rPr>
            </w:pPr>
            <w:r>
              <w:rPr>
                <w:rFonts w:hint="eastAsia" w:ascii="宋体" w:hAnsi="宋体"/>
                <w:b/>
                <w:color w:val="000000"/>
                <w:sz w:val="21"/>
                <w:szCs w:val="21"/>
              </w:rPr>
              <w:t>了解管理评审的策划</w:t>
            </w:r>
            <w:r>
              <w:rPr>
                <w:rFonts w:ascii="宋体" w:hAnsi="宋体"/>
                <w:b/>
                <w:color w:val="000000"/>
                <w:sz w:val="21"/>
                <w:szCs w:val="21"/>
              </w:rPr>
              <w:t xml:space="preserve">; </w:t>
            </w:r>
            <w:r>
              <w:rPr>
                <w:rFonts w:hint="eastAsia"/>
                <w:sz w:val="21"/>
                <w:szCs w:val="21"/>
              </w:rPr>
              <w:t>建立有《管理评审控制程序》，于2020年</w:t>
            </w:r>
            <w:r>
              <w:rPr>
                <w:rFonts w:hint="eastAsia"/>
                <w:sz w:val="21"/>
                <w:szCs w:val="21"/>
                <w:lang w:val="en-US" w:eastAsia="zh-CN"/>
              </w:rPr>
              <w:t>12</w:t>
            </w:r>
            <w:r>
              <w:rPr>
                <w:rFonts w:hint="eastAsia"/>
                <w:sz w:val="21"/>
                <w:szCs w:val="21"/>
              </w:rPr>
              <w:t>月</w:t>
            </w:r>
            <w:r>
              <w:rPr>
                <w:rFonts w:hint="eastAsia"/>
                <w:sz w:val="21"/>
                <w:szCs w:val="21"/>
                <w:lang w:val="en-US" w:eastAsia="zh-CN"/>
              </w:rPr>
              <w:t>15日</w:t>
            </w:r>
            <w:r>
              <w:rPr>
                <w:rFonts w:hint="eastAsia"/>
                <w:sz w:val="21"/>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1"/>
                <w:szCs w:val="21"/>
              </w:rPr>
            </w:pPr>
          </w:p>
        </w:tc>
        <w:tc>
          <w:tcPr>
            <w:tcW w:w="8221" w:type="dxa"/>
          </w:tcPr>
          <w:p>
            <w:pPr>
              <w:spacing w:line="260" w:lineRule="exact"/>
              <w:rPr>
                <w:rFonts w:ascii="宋体"/>
                <w:b/>
                <w:color w:val="000000"/>
                <w:sz w:val="21"/>
                <w:szCs w:val="21"/>
              </w:rPr>
            </w:pPr>
            <w:r>
              <w:rPr>
                <w:rFonts w:hint="eastAsia" w:ascii="宋体" w:hAnsi="宋体"/>
                <w:b/>
                <w:color w:val="000000"/>
                <w:sz w:val="21"/>
                <w:szCs w:val="21"/>
              </w:rPr>
              <w:t>了解管理评审输入是否充分</w:t>
            </w:r>
            <w:r>
              <w:rPr>
                <w:rFonts w:ascii="宋体" w:hAnsi="宋体"/>
                <w:b/>
                <w:color w:val="000000"/>
                <w:sz w:val="21"/>
                <w:szCs w:val="21"/>
              </w:rPr>
              <w:t xml:space="preserve">; </w:t>
            </w:r>
            <w:r>
              <w:rPr>
                <w:rFonts w:hint="eastAsia" w:ascii="宋体" w:hAnsi="宋体"/>
                <w:kern w:val="0"/>
                <w:sz w:val="21"/>
                <w:szCs w:val="21"/>
              </w:rPr>
              <w:t>提供主要输入材料有：各部门总结，</w:t>
            </w:r>
            <w:r>
              <w:rPr>
                <w:rFonts w:hint="eastAsia" w:ascii="宋体"/>
                <w:kern w:val="0"/>
                <w:sz w:val="21"/>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1"/>
                <w:szCs w:val="21"/>
              </w:rPr>
            </w:pPr>
          </w:p>
        </w:tc>
        <w:tc>
          <w:tcPr>
            <w:tcW w:w="8221" w:type="dxa"/>
          </w:tcPr>
          <w:p>
            <w:pPr>
              <w:spacing w:line="260" w:lineRule="exact"/>
              <w:rPr>
                <w:rFonts w:ascii="宋体"/>
                <w:b/>
                <w:color w:val="000000"/>
                <w:sz w:val="21"/>
                <w:szCs w:val="21"/>
              </w:rPr>
            </w:pPr>
            <w:r>
              <w:rPr>
                <w:rFonts w:hint="eastAsia" w:ascii="宋体" w:hAnsi="宋体"/>
                <w:b/>
                <w:color w:val="000000"/>
                <w:sz w:val="21"/>
                <w:szCs w:val="21"/>
              </w:rPr>
              <w:t>了解管理评审结论</w:t>
            </w:r>
            <w:r>
              <w:rPr>
                <w:rFonts w:ascii="宋体" w:hAnsi="宋体"/>
                <w:b/>
                <w:color w:val="000000"/>
                <w:sz w:val="21"/>
                <w:szCs w:val="21"/>
              </w:rPr>
              <w:t xml:space="preserve">; </w:t>
            </w:r>
            <w:r>
              <w:rPr>
                <w:rFonts w:hint="eastAsia"/>
                <w:sz w:val="21"/>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497" w:type="dxa"/>
            <w:gridSpan w:val="2"/>
          </w:tcPr>
          <w:p>
            <w:pPr>
              <w:widowControl/>
              <w:jc w:val="left"/>
              <w:rPr>
                <w:rFonts w:ascii="宋体"/>
                <w:b/>
                <w:color w:val="000000"/>
                <w:sz w:val="21"/>
                <w:szCs w:val="21"/>
              </w:rPr>
            </w:pPr>
            <w:r>
              <w:rPr>
                <w:rFonts w:hint="eastAsia" w:ascii="宋体" w:hAnsi="宋体"/>
                <w:b/>
                <w:color w:val="000000"/>
                <w:sz w:val="21"/>
                <w:szCs w:val="21"/>
              </w:rPr>
              <w:t>评价受审核方对内审和管理评审的关注情况，是否已为二阶段审核做好准备</w:t>
            </w:r>
            <w:r>
              <w:rPr>
                <w:rFonts w:ascii="宋体" w:hAnsi="宋体"/>
                <w:b/>
                <w:color w:val="000000"/>
                <w:sz w:val="21"/>
                <w:szCs w:val="21"/>
              </w:rPr>
              <w:t xml:space="preserve">: </w:t>
            </w:r>
          </w:p>
          <w:p>
            <w:pPr>
              <w:widowControl/>
              <w:jc w:val="left"/>
              <w:rPr>
                <w:rFonts w:ascii="宋体"/>
                <w:b/>
                <w:color w:val="000000"/>
                <w:sz w:val="21"/>
                <w:szCs w:val="21"/>
              </w:rPr>
            </w:pPr>
            <w:r>
              <w:rPr>
                <w:rFonts w:hint="eastAsia" w:ascii="宋体"/>
                <w:b/>
                <w:color w:val="000000"/>
                <w:sz w:val="21"/>
                <w:szCs w:val="21"/>
              </w:rPr>
              <w:t>做好准备。</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eastAsia="zh-CN"/>
              </w:rPr>
              <w:t>■</w:t>
            </w:r>
            <w:r>
              <w:rPr>
                <w:rFonts w:ascii="宋体" w:hAnsi="宋体"/>
                <w:b/>
                <w:color w:val="000000"/>
                <w:sz w:val="20"/>
                <w:szCs w:val="20"/>
              </w:rPr>
              <w:t>QMS /</w:t>
            </w:r>
            <w:r>
              <w:rPr>
                <w:rFonts w:hint="eastAsia" w:ascii="宋体" w:hAnsi="宋体"/>
                <w:b/>
                <w:color w:val="000000"/>
                <w:sz w:val="20"/>
                <w:szCs w:val="20"/>
                <w:lang w:eastAsia="zh-CN"/>
              </w:rPr>
              <w:t>■</w:t>
            </w:r>
            <w:r>
              <w:rPr>
                <w:rFonts w:ascii="宋体" w:hAnsi="宋体"/>
                <w:b/>
                <w:color w:val="000000"/>
                <w:sz w:val="20"/>
                <w:szCs w:val="20"/>
              </w:rPr>
              <w:t>EMS/</w:t>
            </w:r>
            <w:r>
              <w:rPr>
                <w:rFonts w:hint="eastAsia" w:ascii="宋体" w:hAnsi="宋体"/>
                <w:b/>
                <w:color w:val="000000"/>
                <w:sz w:val="20"/>
                <w:szCs w:val="20"/>
                <w:lang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default" w:ascii="宋体" w:eastAsia="宋体"/>
          <w:b/>
          <w:color w:val="000000"/>
          <w:sz w:val="20"/>
          <w:szCs w:val="20"/>
          <w:u w:val="single"/>
          <w:lang w:val="en-US" w:eastAsia="zh-CN"/>
        </w:rPr>
      </w:pPr>
      <w:r>
        <w:rPr>
          <w:rFonts w:ascii="宋体" w:hAnsi="宋体"/>
          <w:b/>
          <w:color w:val="000000"/>
          <w:sz w:val="20"/>
          <w:szCs w:val="20"/>
        </w:rPr>
        <w:t>QMS:</w:t>
      </w:r>
      <w:r>
        <w:rPr>
          <w:rFonts w:hint="eastAsia" w:ascii="宋体" w:hAnsi="宋体"/>
          <w:b/>
          <w:color w:val="000000"/>
          <w:sz w:val="20"/>
          <w:szCs w:val="20"/>
          <w:lang w:val="en-US" w:eastAsia="zh-CN"/>
        </w:rPr>
        <w:t xml:space="preserve"> </w:t>
      </w:r>
      <w:r>
        <w:rPr>
          <w:rFonts w:hint="eastAsia" w:ascii="宋体" w:hAnsi="宋体"/>
          <w:b/>
          <w:color w:val="000000"/>
          <w:sz w:val="20"/>
          <w:szCs w:val="20"/>
          <w:u w:val="single"/>
          <w:lang w:val="en-US" w:eastAsia="zh-CN"/>
        </w:rPr>
        <w:t xml:space="preserve">  </w:t>
      </w:r>
      <w:r>
        <w:rPr>
          <w:rFonts w:hint="eastAsia" w:ascii="宋体" w:hAnsi="宋体"/>
          <w:szCs w:val="21"/>
          <w:u w:val="single"/>
        </w:rPr>
        <w:t>物业管理服务</w:t>
      </w:r>
      <w:r>
        <w:rPr>
          <w:rFonts w:hint="eastAsia" w:ascii="宋体" w:hAnsi="宋体"/>
          <w:szCs w:val="21"/>
          <w:u w:val="single"/>
          <w:lang w:val="en-US" w:eastAsia="zh-CN"/>
        </w:rPr>
        <w:t xml:space="preserve">    </w:t>
      </w:r>
    </w:p>
    <w:p>
      <w:pPr>
        <w:ind w:firstLine="201" w:firstLineChars="100"/>
        <w:rPr>
          <w:rFonts w:ascii="宋体"/>
          <w:b/>
          <w:color w:val="000000"/>
          <w:sz w:val="20"/>
          <w:szCs w:val="20"/>
          <w:u w:val="single"/>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u w:val="single"/>
        </w:rPr>
        <w:t>物业管理服务所涉及场所的相关环境管理活动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u w:val="single"/>
        </w:rPr>
        <w:t>物业管理服务所涉及场所的相关职业健康安全管理活动</w:t>
      </w:r>
    </w:p>
    <w:p>
      <w:pPr>
        <w:spacing w:before="156" w:beforeLines="50" w:after="62" w:afterLines="20" w:line="360" w:lineRule="exact"/>
        <w:ind w:firstLine="210" w:firstLineChars="100"/>
        <w:rPr>
          <w:rFonts w:ascii="宋体"/>
          <w:b/>
          <w:bCs/>
          <w:color w:val="000000"/>
          <w:sz w:val="26"/>
          <w:szCs w:val="26"/>
        </w:rPr>
      </w:pPr>
      <w:r>
        <w:rPr>
          <w:rFonts w:ascii="宋体" w:hAnsi="宋体"/>
        </w:rPr>
        <w:drawing>
          <wp:anchor distT="0" distB="0" distL="114300" distR="114300" simplePos="0" relativeHeight="251659264" behindDoc="0" locked="0" layoutInCell="1" allowOverlap="1">
            <wp:simplePos x="0" y="0"/>
            <wp:positionH relativeFrom="column">
              <wp:posOffset>1914525</wp:posOffset>
            </wp:positionH>
            <wp:positionV relativeFrom="paragraph">
              <wp:posOffset>347345</wp:posOffset>
            </wp:positionV>
            <wp:extent cx="493395" cy="307340"/>
            <wp:effectExtent l="0" t="0" r="9525" b="12700"/>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新文档 2020-01-09 10.59.53_副本.jpg"/>
                    <pic:cNvPicPr>
                      <a:picLocks noChangeAspect="1"/>
                    </pic:cNvPicPr>
                  </pic:nvPicPr>
                  <pic:blipFill>
                    <a:blip r:embed="rId6"/>
                    <a:stretch>
                      <a:fillRect/>
                    </a:stretch>
                  </pic:blipFill>
                  <pic:spPr>
                    <a:xfrm>
                      <a:off x="0" y="0"/>
                      <a:ext cx="493395" cy="30734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960" w:firstLineChars="400"/>
        <w:rPr>
          <w:rFonts w:ascii="宋体"/>
          <w:b/>
          <w:color w:val="000000"/>
        </w:rPr>
      </w:pPr>
      <w:r>
        <w:rPr>
          <w:sz w:val="24"/>
        </w:rPr>
        <w:drawing>
          <wp:anchor distT="0" distB="0" distL="114300" distR="114300" simplePos="0" relativeHeight="251688960" behindDoc="0" locked="0" layoutInCell="1" allowOverlap="1">
            <wp:simplePos x="0" y="0"/>
            <wp:positionH relativeFrom="column">
              <wp:posOffset>1883410</wp:posOffset>
            </wp:positionH>
            <wp:positionV relativeFrom="paragraph">
              <wp:posOffset>102870</wp:posOffset>
            </wp:positionV>
            <wp:extent cx="590550" cy="363855"/>
            <wp:effectExtent l="0" t="0" r="3810" b="1905"/>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7"/>
                    <a:stretch>
                      <a:fillRect/>
                    </a:stretch>
                  </pic:blipFill>
                  <pic:spPr>
                    <a:xfrm>
                      <a:off x="0" y="0"/>
                      <a:ext cx="590550" cy="36385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2021年01月25日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hint="eastAsia" w:eastAsia="隶书" w:cs="Times New Roman"/>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重庆年年有余物业管理有限公司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spacing w:line="400" w:lineRule="exact"/>
              <w:rPr>
                <w:rFonts w:hint="default" w:eastAsia="宋体"/>
                <w:b/>
                <w:bCs/>
                <w:szCs w:val="21"/>
                <w:highlight w:val="none"/>
                <w:lang w:val="en-US" w:eastAsia="zh-CN"/>
              </w:rPr>
            </w:pPr>
            <w:r>
              <w:rPr>
                <w:rFonts w:hint="eastAsia"/>
                <w:szCs w:val="21"/>
              </w:rPr>
              <w:t>主</w:t>
            </w:r>
            <w:r>
              <w:rPr>
                <w:rFonts w:hint="eastAsia" w:eastAsia="宋体"/>
                <w:szCs w:val="21"/>
              </w:rPr>
              <w:t>要检测设备</w:t>
            </w:r>
            <w:r>
              <w:rPr>
                <w:rFonts w:hint="eastAsia" w:eastAsia="宋体"/>
                <w:szCs w:val="21"/>
                <w:lang w:val="en-US" w:eastAsia="zh-CN"/>
              </w:rPr>
              <w:t>为</w:t>
            </w:r>
            <w:r>
              <w:rPr>
                <w:rFonts w:hint="eastAsia"/>
                <w:szCs w:val="21"/>
                <w:lang w:val="en-US" w:eastAsia="zh-CN"/>
              </w:rPr>
              <w:t>数字钳形表</w:t>
            </w:r>
            <w:r>
              <w:rPr>
                <w:rFonts w:hint="eastAsia" w:eastAsia="宋体"/>
                <w:szCs w:val="21"/>
              </w:rPr>
              <w:t>。</w:t>
            </w:r>
            <w:r>
              <w:rPr>
                <w:rFonts w:hint="eastAsia" w:eastAsia="宋体"/>
                <w:szCs w:val="21"/>
                <w:lang w:val="en-US" w:eastAsia="zh-CN"/>
              </w:rPr>
              <w:t>不能提供</w:t>
            </w:r>
            <w:r>
              <w:rPr>
                <w:rFonts w:hint="eastAsia"/>
                <w:szCs w:val="21"/>
                <w:lang w:val="en-US" w:eastAsia="zh-CN"/>
              </w:rPr>
              <w:t>数字钳形表</w:t>
            </w:r>
            <w:r>
              <w:rPr>
                <w:rFonts w:hint="eastAsia" w:eastAsia="宋体"/>
                <w:szCs w:val="21"/>
                <w:lang w:val="en-US" w:eastAsia="zh-CN"/>
              </w:rPr>
              <w:t>的有效校准报告。</w:t>
            </w:r>
          </w:p>
          <w:p>
            <w:pPr>
              <w:pStyle w:val="6"/>
              <w:pBdr>
                <w:bottom w:val="none" w:color="auto" w:sz="0" w:space="0"/>
              </w:pBdr>
              <w:tabs>
                <w:tab w:val="center" w:pos="5737"/>
                <w:tab w:val="clear" w:pos="4153"/>
              </w:tabs>
              <w:jc w:val="both"/>
              <w:rPr>
                <w:rFonts w:hint="eastAsia" w:eastAsia="宋体"/>
                <w:color w:val="000000"/>
                <w:sz w:val="24"/>
                <w:szCs w:val="24"/>
                <w:lang w:val="en-US" w:eastAsia="zh-CN"/>
              </w:rPr>
            </w:pPr>
          </w:p>
        </w:tc>
        <w:tc>
          <w:tcPr>
            <w:tcW w:w="1688" w:type="dxa"/>
            <w:vAlign w:val="center"/>
          </w:tcPr>
          <w:p>
            <w:pPr>
              <w:pStyle w:val="6"/>
              <w:pBdr>
                <w:bottom w:val="none" w:color="auto" w:sz="0" w:space="0"/>
              </w:pBdr>
              <w:tabs>
                <w:tab w:val="center" w:pos="5737"/>
                <w:tab w:val="clear" w:pos="4153"/>
              </w:tabs>
              <w:jc w:val="left"/>
              <w:rPr>
                <w:rFonts w:hint="default" w:ascii="Calibri" w:hAnsi="Calibri" w:eastAsia="宋体" w:cs="Times New Roman"/>
                <w:color w:val="000000"/>
                <w:kern w:val="2"/>
                <w:sz w:val="32"/>
                <w:szCs w:val="32"/>
                <w:lang w:val="en-US" w:eastAsia="zh-CN" w:bidi="ar-SA"/>
              </w:rPr>
            </w:pPr>
            <w:r>
              <w:rPr>
                <w:rFonts w:hint="eastAsia" w:ascii="宋体" w:hAnsi="宋体" w:cs="宋体"/>
                <w:sz w:val="21"/>
                <w:szCs w:val="21"/>
              </w:rPr>
              <w:t>ISO9001:2015</w:t>
            </w:r>
          </w:p>
        </w:tc>
        <w:tc>
          <w:tcPr>
            <w:tcW w:w="1811" w:type="dxa"/>
            <w:vAlign w:val="center"/>
          </w:tcPr>
          <w:p>
            <w:pPr>
              <w:pStyle w:val="6"/>
              <w:pBdr>
                <w:bottom w:val="none" w:color="auto" w:sz="0" w:space="0"/>
              </w:pBdr>
              <w:tabs>
                <w:tab w:val="center" w:pos="5737"/>
                <w:tab w:val="clear" w:pos="4153"/>
              </w:tabs>
              <w:ind w:firstLine="420" w:firstLineChars="200"/>
              <w:jc w:val="left"/>
              <w:rPr>
                <w:rFonts w:ascii="Calibri" w:hAnsi="Calibri" w:eastAsia="宋体" w:cs="Times New Roman"/>
                <w:color w:val="000000"/>
                <w:kern w:val="2"/>
                <w:sz w:val="32"/>
                <w:szCs w:val="32"/>
                <w:lang w:val="en-US" w:eastAsia="zh-CN" w:bidi="ar-SA"/>
              </w:rPr>
            </w:pPr>
            <w:r>
              <w:rPr>
                <w:rFonts w:hint="eastAsia" w:ascii="宋体" w:hAnsi="宋体" w:cs="宋体"/>
                <w:sz w:val="21"/>
                <w:szCs w:val="21"/>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ascii="宋体" w:hAnsi="宋体"/>
              </w:rPr>
              <w:drawing>
                <wp:anchor distT="0" distB="0" distL="114300" distR="114300" simplePos="0" relativeHeight="251691008" behindDoc="0" locked="0" layoutInCell="1" allowOverlap="1">
                  <wp:simplePos x="0" y="0"/>
                  <wp:positionH relativeFrom="column">
                    <wp:posOffset>600710</wp:posOffset>
                  </wp:positionH>
                  <wp:positionV relativeFrom="paragraph">
                    <wp:posOffset>20320</wp:posOffset>
                  </wp:positionV>
                  <wp:extent cx="493395" cy="307340"/>
                  <wp:effectExtent l="0" t="0" r="9525" b="12700"/>
                  <wp:wrapNone/>
                  <wp:docPr id="4"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Desktop\新文档 2020-01-09 10.59.53_副本.jpg"/>
                          <pic:cNvPicPr>
                            <a:picLocks noChangeAspect="1"/>
                          </pic:cNvPicPr>
                        </pic:nvPicPr>
                        <pic:blipFill>
                          <a:blip r:embed="rId6"/>
                          <a:stretch>
                            <a:fillRect/>
                          </a:stretch>
                        </pic:blipFill>
                        <pic:spPr>
                          <a:xfrm>
                            <a:off x="0" y="0"/>
                            <a:ext cx="493395" cy="307340"/>
                          </a:xfrm>
                          <a:prstGeom prst="rect">
                            <a:avLst/>
                          </a:prstGeom>
                          <a:noFill/>
                          <a:ln>
                            <a:noFill/>
                          </a:ln>
                        </pic:spPr>
                      </pic:pic>
                    </a:graphicData>
                  </a:graphic>
                </wp:anchor>
              </w:drawing>
            </w:r>
            <w:r>
              <w:rPr>
                <w:rFonts w:hint="eastAsia"/>
                <w:b/>
                <w:color w:val="000000"/>
                <w:sz w:val="22"/>
                <w:szCs w:val="22"/>
              </w:rPr>
              <w:t>审核员：</w:t>
            </w:r>
          </w:p>
          <w:p>
            <w:pPr>
              <w:pStyle w:val="3"/>
            </w:pP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01</w:t>
            </w:r>
            <w:r>
              <w:rPr>
                <w:rFonts w:hint="eastAsia"/>
                <w:b/>
                <w:color w:val="000000"/>
                <w:sz w:val="22"/>
                <w:szCs w:val="22"/>
              </w:rPr>
              <w:t xml:space="preserve"> 月</w:t>
            </w:r>
            <w:r>
              <w:rPr>
                <w:rFonts w:hint="eastAsia"/>
                <w:b/>
                <w:color w:val="000000"/>
                <w:sz w:val="22"/>
                <w:szCs w:val="22"/>
                <w:lang w:val="en-US" w:eastAsia="zh-CN"/>
              </w:rPr>
              <w:t>25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01</w:t>
            </w:r>
            <w:r>
              <w:rPr>
                <w:rFonts w:hint="eastAsia"/>
                <w:b/>
                <w:color w:val="000000"/>
                <w:sz w:val="22"/>
                <w:szCs w:val="22"/>
              </w:rPr>
              <w:t xml:space="preserve"> 月 </w:t>
            </w:r>
            <w:r>
              <w:rPr>
                <w:rFonts w:hint="eastAsia"/>
                <w:b/>
                <w:color w:val="000000"/>
                <w:sz w:val="22"/>
                <w:szCs w:val="22"/>
                <w:lang w:val="en-US" w:eastAsia="zh-CN"/>
              </w:rPr>
              <w:t>25</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ascii="宋体" w:hAnsi="宋体"/>
              </w:rPr>
              <w:drawing>
                <wp:anchor distT="0" distB="0" distL="114300" distR="114300" simplePos="0" relativeHeight="251724800" behindDoc="0" locked="0" layoutInCell="1" allowOverlap="1">
                  <wp:simplePos x="0" y="0"/>
                  <wp:positionH relativeFrom="column">
                    <wp:posOffset>676275</wp:posOffset>
                  </wp:positionH>
                  <wp:positionV relativeFrom="paragraph">
                    <wp:posOffset>30480</wp:posOffset>
                  </wp:positionV>
                  <wp:extent cx="570865" cy="355600"/>
                  <wp:effectExtent l="0" t="0" r="8255" b="10160"/>
                  <wp:wrapNone/>
                  <wp:docPr id="5"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新文档 2020-01-09 10.59.53_副本.jpg"/>
                          <pic:cNvPicPr>
                            <a:picLocks noChangeAspect="1"/>
                          </pic:cNvPicPr>
                        </pic:nvPicPr>
                        <pic:blipFill>
                          <a:blip r:embed="rId6"/>
                          <a:stretch>
                            <a:fillRect/>
                          </a:stretch>
                        </pic:blipFill>
                        <pic:spPr>
                          <a:xfrm>
                            <a:off x="0" y="0"/>
                            <a:ext cx="570865" cy="355600"/>
                          </a:xfrm>
                          <a:prstGeom prst="rect">
                            <a:avLst/>
                          </a:prstGeom>
                          <a:noFill/>
                          <a:ln>
                            <a:noFill/>
                          </a:ln>
                        </pic:spPr>
                      </pic:pic>
                    </a:graphicData>
                  </a:graphic>
                </wp:anchor>
              </w:drawing>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2021年01月26</w:t>
            </w:r>
            <w:bookmarkStart w:id="25" w:name="_GoBack"/>
            <w:bookmarkEnd w:id="25"/>
            <w:r>
              <w:rPr>
                <w:rFonts w:hint="eastAsia"/>
                <w:b/>
                <w:color w:val="000000"/>
                <w:sz w:val="22"/>
                <w:szCs w:val="22"/>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AA5A26"/>
    <w:rsid w:val="19CD5ADC"/>
    <w:rsid w:val="2C7C2B5C"/>
    <w:rsid w:val="57392C2C"/>
    <w:rsid w:val="68096ABB"/>
    <w:rsid w:val="79F811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2021-01-28T07:22:44Z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