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四川省交通物资有限责任公司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eastAsia="宋体" w:cs="Times New Roman"/>
                <w:b/>
                <w:color w:val="000000" w:themeColor="text1"/>
                <w:kern w:val="2"/>
                <w:sz w:val="20"/>
                <w:szCs w:val="20"/>
                <w:lang w:val="en-US" w:eastAsia="zh-CN" w:bidi="ar-SA"/>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eastAsia="宋体" w:cs="宋体" w:hAnsiTheme="minorHAnsi"/>
                <w:color w:val="000000" w:themeColor="text1"/>
                <w:kern w:val="0"/>
                <w:sz w:val="20"/>
                <w:szCs w:val="20"/>
                <w:lang w:val="en-US" w:eastAsia="zh-CN" w:bidi="ar-SA"/>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四川省交通物资有限责任公司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成都市一环路西一段</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成都市一环路西一段</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胡小隆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E：建材销售所涉及场所的相关环境管理活动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E：29.11.03</w:t>
            </w:r>
          </w:p>
          <w:p>
            <w:pPr>
              <w:spacing w:line="320" w:lineRule="exact"/>
              <w:rPr>
                <w:rFonts w:ascii="宋体" w:hAnsi="宋体"/>
                <w:b/>
                <w:color w:val="000000" w:themeColor="text1"/>
                <w:sz w:val="20"/>
                <w:szCs w:val="20"/>
              </w:rPr>
            </w:pPr>
            <w:r>
              <w:rPr>
                <w:rFonts w:ascii="宋体" w:hAnsi="宋体"/>
                <w:b/>
                <w:color w:val="000000" w:themeColor="text1"/>
                <w:sz w:val="20"/>
                <w:szCs w:val="20"/>
              </w:rPr>
              <w:t>O：29.11.03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2020-09-19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综合办公室</w:t>
            </w:r>
            <w:r>
              <w:rPr>
                <w:rFonts w:hint="eastAsia" w:ascii="宋体" w:hAnsi="宋体"/>
                <w:b/>
                <w:color w:val="000000" w:themeColor="text1"/>
                <w:sz w:val="20"/>
                <w:szCs w:val="20"/>
                <w:lang w:eastAsia="zh-CN"/>
              </w:rPr>
              <w:tab/>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业务</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物资部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采购管理；外部供方管理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建材销售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中华人民共和国合同法、中华人民共和国劳动法、中华人民共和国安全消防法、中华人民共和国劳动合同法、</w:t>
            </w:r>
            <w:r>
              <w:rPr>
                <w:b/>
                <w:color w:val="000000" w:themeColor="text1"/>
                <w:sz w:val="20"/>
                <w:szCs w:val="20"/>
              </w:rPr>
              <w:t>中华人民共和国产品质量法</w:t>
            </w:r>
            <w:r>
              <w:rPr>
                <w:rFonts w:hint="eastAsia"/>
                <w:b/>
                <w:color w:val="000000" w:themeColor="text1"/>
                <w:sz w:val="20"/>
                <w:szCs w:val="20"/>
              </w:rPr>
              <w:t>、中华人民共和国安全生产法等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19</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ascii="Times New Roman" w:hAnsi="Times New Roman" w:eastAsia="宋体" w:cs="Times New Roman"/>
                <w:b/>
                <w:color w:val="000000" w:themeColor="text1"/>
                <w:kern w:val="2"/>
                <w:sz w:val="21"/>
                <w:szCs w:val="24"/>
                <w:lang w:val="en-US" w:eastAsia="zh-CN" w:bidi="ar-SA"/>
              </w:rPr>
            </w:pP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坚持走可持续发展之路，倡导绿色环保思想，遵守法律法规，从产品销售到服务的全过程中，实行污染预防和持续改进。</w:t>
            </w:r>
            <w:r>
              <w:rPr>
                <w:rFonts w:hint="eastAsia" w:ascii="宋体" w:hAnsi="宋体"/>
                <w:color w:val="000000"/>
                <w:szCs w:val="21"/>
              </w:rPr>
              <w:t>保障健康、安全服务、以人为本、永续发展、遵守法规、持续改进</w:t>
            </w:r>
            <w:r>
              <w:rPr>
                <w:rFonts w:hint="eastAsia" w:ascii="宋体" w:hAnsi="宋体"/>
                <w:color w:val="000000"/>
                <w:szCs w:val="21"/>
                <w:lang w:eastAsia="zh-CN"/>
              </w:rPr>
              <w:t>。</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0" w:leftChars="0" w:firstLine="0" w:firstLineChars="0"/>
              <w:rPr>
                <w:rFonts w:hint="default" w:ascii="Times New Roman" w:hAnsi="Times New Roman" w:eastAsia="宋体" w:cs="Times New Roman"/>
                <w:b/>
                <w:color w:val="000000" w:themeColor="text1"/>
                <w:kern w:val="2"/>
                <w:sz w:val="21"/>
                <w:szCs w:val="24"/>
                <w:lang w:val="en-US" w:eastAsia="zh-CN" w:bidi="ar-SA"/>
              </w:rPr>
            </w:pPr>
            <w:r>
              <w:rPr>
                <w:rFonts w:hint="eastAsia"/>
                <w:b/>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leftChars="0" w:hanging="201" w:hangingChars="100"/>
              <w:rPr>
                <w:rFonts w:ascii="宋体" w:hAnsi="宋体" w:eastAsia="宋体" w:cs="Times New Roman"/>
                <w:b/>
                <w:color w:val="000000" w:themeColor="text1"/>
                <w:kern w:val="2"/>
                <w:sz w:val="21"/>
                <w:szCs w:val="21"/>
                <w:lang w:val="en-US" w:eastAsia="zh-CN" w:bidi="ar-SA"/>
              </w:rPr>
            </w:pPr>
            <w:r>
              <w:rPr>
                <w:b/>
                <w:color w:val="000000" w:themeColor="text1"/>
                <w:sz w:val="20"/>
                <w:szCs w:val="20"/>
              </w:rPr>
              <w:pict>
                <v:shape id="_x0000_s2052" o:spid="_x0000_s2052"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Times New Roman" w:hAnsi="Times New Roman" w:eastAsia="宋体" w:cs="Times New Roman"/>
                <w:b/>
                <w:color w:val="000000" w:themeColor="text1"/>
                <w:kern w:val="2"/>
                <w:sz w:val="14"/>
                <w:szCs w:val="14"/>
                <w:lang w:val="en-US" w:eastAsia="zh-CN" w:bidi="ar-SA"/>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宋体" w:hAnsi="宋体"/>
                <w:color w:val="000000"/>
                <w:szCs w:val="21"/>
              </w:rPr>
              <w:t>环境、职业健</w:t>
            </w:r>
            <w:r>
              <w:rPr>
                <w:rFonts w:hint="eastAsia" w:asciiTheme="minorEastAsia" w:hAnsiTheme="minorEastAsia" w:eastAsiaTheme="minorEastAsia" w:cstheme="minorEastAsia"/>
                <w:szCs w:val="21"/>
              </w:rPr>
              <w:t>康安全管理目标：</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办公、生活废弃物分类收集处理率100%；</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职业病发生率为0；</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重大安全事故和伤亡事故为0；</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火灾事故为0；</w:t>
            </w:r>
          </w:p>
          <w:p>
            <w:pPr>
              <w:numPr>
                <w:ilvl w:val="0"/>
                <w:numId w:val="0"/>
              </w:numPr>
              <w:tabs>
                <w:tab w:val="left" w:pos="900"/>
              </w:tabs>
              <w:spacing w:line="360" w:lineRule="auto"/>
              <w:ind w:left="0" w:leftChars="0" w:firstLine="0" w:firstLineChars="0"/>
              <w:rPr>
                <w:rFonts w:ascii="宋体" w:hAnsi="宋体" w:eastAsia="宋体" w:cs="Times New Roman"/>
                <w:b/>
                <w:color w:val="000000" w:themeColor="text1"/>
                <w:kern w:val="2"/>
                <w:sz w:val="21"/>
                <w:szCs w:val="24"/>
                <w:lang w:val="en-US" w:eastAsia="zh-CN" w:bidi="ar-SA"/>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环境扰民投诉为0。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月1</w:t>
            </w:r>
            <w:r>
              <w:rPr>
                <w:rFonts w:hint="eastAsia" w:ascii="宋体" w:hAnsi="宋体" w:cs="宋体"/>
                <w:color w:val="000000" w:themeColor="text1"/>
                <w:lang w:val="en-US" w:eastAsia="zh-CN"/>
              </w:rPr>
              <w:t>9</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w:t>
            </w:r>
            <w:r>
              <w:rPr>
                <w:rFonts w:hint="eastAsia" w:ascii="宋体" w:hAnsi="宋体"/>
                <w:bCs/>
                <w:iCs/>
                <w:szCs w:val="22"/>
                <w:lang w:eastAsia="zh-CN"/>
              </w:rPr>
              <w:t>、</w:t>
            </w:r>
            <w:r>
              <w:rPr>
                <w:rFonts w:hint="eastAsia" w:ascii="宋体" w:hAnsi="宋体"/>
                <w:bCs/>
                <w:iCs/>
                <w:szCs w:val="22"/>
              </w:rPr>
              <w:t>设备等资源，并建立维持了</w:t>
            </w:r>
            <w:r>
              <w:rPr>
                <w:rFonts w:hint="eastAsia" w:ascii="宋体" w:hAnsi="宋体"/>
                <w:szCs w:val="21"/>
                <w:lang w:eastAsia="zh-CN"/>
              </w:rPr>
              <w:t>建材销售</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0" w:lineRule="atLeast"/>
              <w:jc w:val="left"/>
              <w:rPr>
                <w:rFonts w:ascii="宋体" w:hAnsi="宋体" w:eastAsia="宋体" w:cs="Times New Roman"/>
                <w:b/>
                <w:kern w:val="2"/>
                <w:sz w:val="20"/>
                <w:szCs w:val="20"/>
                <w:lang w:val="en-US" w:eastAsia="zh-CN" w:bidi="ar-SA"/>
              </w:rPr>
            </w:pPr>
            <w:r>
              <w:rPr>
                <w:rFonts w:hint="eastAsia" w:ascii="宋体" w:hAnsi="宋体"/>
                <w:b/>
                <w:color w:val="000000" w:themeColor="text1"/>
                <w:sz w:val="20"/>
                <w:szCs w:val="20"/>
              </w:rPr>
              <w:t>设备设施（包括信息系统）、</w:t>
            </w:r>
            <w:r>
              <w:rPr>
                <w:rFonts w:hint="eastAsia" w:ascii="宋体" w:hAnsi="宋体"/>
                <w:color w:val="auto"/>
                <w:szCs w:val="21"/>
                <w:highlight w:val="none"/>
              </w:rPr>
              <w:t>办公场所面积</w:t>
            </w:r>
            <w:r>
              <w:rPr>
                <w:rFonts w:hint="eastAsia" w:ascii="宋体" w:hAnsi="宋体"/>
                <w:color w:val="auto"/>
                <w:szCs w:val="21"/>
                <w:highlight w:val="none"/>
                <w:lang w:val="en-US" w:eastAsia="zh-CN"/>
              </w:rPr>
              <w:t>500</w:t>
            </w:r>
            <w:r>
              <w:rPr>
                <w:rFonts w:hint="eastAsia" w:ascii="宋体" w:hAnsi="宋体"/>
                <w:color w:val="auto"/>
                <w:szCs w:val="21"/>
                <w:highlight w:val="none"/>
              </w:rPr>
              <w:t>平方左右。</w:t>
            </w:r>
            <w:r>
              <w:rPr>
                <w:rFonts w:hint="eastAsia" w:ascii="宋体" w:hAnsi="宋体" w:cs="宋体"/>
                <w:color w:val="auto"/>
                <w:szCs w:val="21"/>
                <w:highlight w:val="none"/>
              </w:rPr>
              <w:t>主要设备包括</w:t>
            </w:r>
            <w:r>
              <w:rPr>
                <w:rFonts w:hint="eastAsia" w:ascii="宋体" w:hAnsi="宋体"/>
                <w:color w:val="auto"/>
                <w:szCs w:val="21"/>
                <w:highlight w:val="none"/>
              </w:rPr>
              <w:t>电脑、打印机</w:t>
            </w:r>
            <w:r>
              <w:rPr>
                <w:rFonts w:hint="eastAsia" w:ascii="宋体" w:hAnsi="宋体" w:cs="宋体"/>
                <w:color w:val="auto"/>
                <w:szCs w:val="21"/>
                <w:highlight w:val="none"/>
              </w:rPr>
              <w:t>等办公设备</w:t>
            </w:r>
            <w:r>
              <w:rPr>
                <w:rFonts w:hint="eastAsia" w:ascii="宋体" w:hAnsi="宋体"/>
                <w:szCs w:val="21"/>
              </w:rPr>
              <w:t>设备，可以满足</w:t>
            </w:r>
            <w:r>
              <w:rPr>
                <w:rFonts w:hint="eastAsia" w:ascii="宋体" w:hAnsi="宋体"/>
                <w:szCs w:val="21"/>
                <w:lang w:eastAsia="zh-CN"/>
              </w:rPr>
              <w:t>建材销售</w:t>
            </w:r>
            <w:r>
              <w:rPr>
                <w:rFonts w:hint="eastAsia" w:ascii="宋体" w:hAnsi="宋体"/>
                <w:szCs w:val="21"/>
              </w:rPr>
              <w:t>的需要</w:t>
            </w:r>
            <w:r>
              <w:rPr>
                <w:rFonts w:hint="eastAsia" w:ascii="宋体" w:hAnsi="宋体" w:cs="宋体"/>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w:t>
            </w:r>
            <w:r>
              <w:rPr>
                <w:rFonts w:hint="eastAsia" w:ascii="宋体" w:hAnsi="宋体" w:cs="宋体"/>
                <w:szCs w:val="21"/>
                <w:lang w:val="en-US" w:eastAsia="zh-CN"/>
              </w:rPr>
              <w:t>经营</w:t>
            </w:r>
            <w:r>
              <w:rPr>
                <w:rFonts w:hint="eastAsia" w:ascii="宋体" w:hAnsi="宋体" w:cs="宋体"/>
                <w:szCs w:val="21"/>
              </w:rPr>
              <w:t>场所和内设备布置合理，通道畅通，照明设施齐全，均配备了消防设施等设施。办公室明亮，培训场所光线较充足。每月由</w:t>
            </w:r>
            <w:r>
              <w:rPr>
                <w:rFonts w:hint="eastAsia" w:ascii="宋体" w:hAnsi="宋体" w:cs="宋体"/>
                <w:szCs w:val="21"/>
                <w:lang w:eastAsia="zh-CN"/>
              </w:rPr>
              <w:t>综合办公室</w:t>
            </w:r>
            <w:r>
              <w:rPr>
                <w:rFonts w:hint="eastAsia" w:ascii="宋体" w:hAnsi="宋体" w:cs="宋体"/>
                <w:szCs w:val="21"/>
                <w:lang w:eastAsia="zh-CN"/>
              </w:rPr>
              <w:tab/>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pPr>
            <w:r>
              <w:rPr>
                <w:rFonts w:hint="eastAsia"/>
              </w:rPr>
              <w:t>监视和测量资源</w:t>
            </w:r>
          </w:p>
          <w:p>
            <w:pPr>
              <w:pStyle w:val="2"/>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组织建立了危险源识别、评价控制程序，识别评价了危险源、风险相关的过程，评价出了重要危险源（潜在火灾、</w:t>
            </w:r>
            <w:r>
              <w:rPr>
                <w:rFonts w:hint="eastAsia" w:asciiTheme="minorEastAsia" w:hAnsiTheme="minorEastAsia" w:eastAsiaTheme="minorEastAsia"/>
                <w:bCs/>
                <w:iCs/>
                <w:lang w:val="en-US" w:eastAsia="zh-CN"/>
              </w:rPr>
              <w:t>触电</w:t>
            </w:r>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val="en-US" w:eastAsia="zh-CN"/>
              </w:rPr>
              <w:t>服务</w:t>
            </w:r>
            <w:r>
              <w:rPr>
                <w:rFonts w:hint="eastAsia" w:asciiTheme="minorEastAsia" w:hAnsiTheme="minorEastAsia" w:eastAsiaTheme="minorEastAsia"/>
                <w:bCs/>
                <w:iCs/>
              </w:rPr>
              <w:t>过程，针对不可接受风险制定了管理方案。控制措施实施有效。</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sz w:val="20"/>
                <w:szCs w:val="20"/>
              </w:rPr>
              <w:t>10. 对特种设备的维护; （适用时）</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rFonts w:ascii="Times New Roman" w:hAnsi="Times New Roman" w:eastAsia="宋体" w:cs="Times New Roman"/>
                <w:kern w:val="2"/>
                <w:sz w:val="20"/>
                <w:szCs w:val="20"/>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w:t>
            </w:r>
            <w:r>
              <w:rPr>
                <w:rFonts w:hint="eastAsia" w:ascii="宋体" w:hAnsi="宋体" w:cs="宋体"/>
                <w:color w:val="auto"/>
                <w:szCs w:val="21"/>
              </w:rPr>
              <w:t>值。通过2020年</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月目标的</w:t>
            </w:r>
            <w:r>
              <w:rPr>
                <w:rFonts w:hint="eastAsia" w:ascii="宋体" w:hAnsi="宋体" w:cs="宋体"/>
                <w:color w:val="000000"/>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Cs w:val="21"/>
              </w:rPr>
              <w:t>建立有《内部审核控制程序》，规定了内审频次一年一次，内审时间：</w:t>
            </w:r>
            <w:r>
              <w:rPr>
                <w:rFonts w:hint="eastAsia" w:ascii="宋体" w:hAnsi="宋体"/>
                <w:color w:val="000000" w:themeColor="text1"/>
                <w:szCs w:val="21"/>
              </w:rPr>
              <w:t>2020年</w:t>
            </w:r>
            <w:r>
              <w:rPr>
                <w:rFonts w:hint="eastAsia" w:ascii="宋体" w:hAnsi="宋体"/>
                <w:color w:val="000000" w:themeColor="text1"/>
                <w:szCs w:val="21"/>
                <w:lang w:val="en-US" w:eastAsia="zh-CN"/>
              </w:rPr>
              <w:t>12</w:t>
            </w:r>
            <w:r>
              <w:rPr>
                <w:rFonts w:hint="eastAsia" w:ascii="宋体" w:hAnsi="宋体"/>
                <w:color w:val="000000" w:themeColor="text1"/>
                <w:szCs w:val="21"/>
              </w:rPr>
              <w:t>月</w:t>
            </w:r>
            <w:r>
              <w:rPr>
                <w:rFonts w:hint="eastAsia" w:ascii="宋体" w:hAnsi="宋体"/>
                <w:color w:val="000000" w:themeColor="text1"/>
                <w:szCs w:val="21"/>
                <w:lang w:val="en-US" w:eastAsia="zh-CN"/>
              </w:rPr>
              <w:t>20</w:t>
            </w:r>
            <w:r>
              <w:rPr>
                <w:rFonts w:hint="eastAsia" w:ascii="宋体" w:hAnsi="宋体"/>
                <w:color w:val="000000" w:themeColor="text1"/>
                <w:szCs w:val="21"/>
              </w:rPr>
              <w:t>日至</w:t>
            </w:r>
            <w:r>
              <w:rPr>
                <w:rFonts w:hint="eastAsia" w:ascii="宋体" w:hAnsi="宋体"/>
                <w:color w:val="000000" w:themeColor="text1"/>
                <w:szCs w:val="21"/>
                <w:lang w:val="en-US" w:eastAsia="zh-CN"/>
              </w:rPr>
              <w:t>21日</w:t>
            </w:r>
            <w:r>
              <w:rPr>
                <w:rFonts w:hint="eastAsia" w:ascii="宋体" w:hAnsi="宋体"/>
                <w:szCs w:val="21"/>
              </w:rPr>
              <w:t>，拟定了审核实施表，明确了内审范围，内审人员经培训合格上岗，能力满足要求，未出现审核本部门情况，内审不符合项1项，涉及</w:t>
            </w:r>
            <w:r>
              <w:rPr>
                <w:rFonts w:hint="eastAsia" w:ascii="宋体" w:hAnsi="宋体"/>
                <w:szCs w:val="21"/>
                <w:lang w:val="en-US" w:eastAsia="zh-CN"/>
              </w:rPr>
              <w:t>物资部</w:t>
            </w:r>
            <w:r>
              <w:rPr>
                <w:rFonts w:hint="eastAsia" w:ascii="宋体" w:hAnsi="宋体"/>
                <w:szCs w:val="21"/>
              </w:rPr>
              <w:t>ES</w:t>
            </w:r>
            <w:r>
              <w:rPr>
                <w:rFonts w:hint="eastAsia" w:ascii="宋体" w:hAnsi="宋体"/>
                <w:szCs w:val="21"/>
                <w:lang w:val="en-US" w:eastAsia="zh-CN"/>
              </w:rPr>
              <w:t>8</w:t>
            </w:r>
            <w:r>
              <w:rPr>
                <w:rFonts w:hint="eastAsia" w:ascii="宋体" w:hAnsi="宋体"/>
                <w:szCs w:val="21"/>
              </w:rPr>
              <w:t>.2条款</w:t>
            </w:r>
            <w:r>
              <w:rPr>
                <w:rFonts w:hint="eastAsia" w:ascii="宋体" w:hAnsi="宋体" w:cs="宋体"/>
                <w:szCs w:val="21"/>
              </w:rPr>
              <w:t>在审核</w:t>
            </w:r>
            <w:r>
              <w:rPr>
                <w:rFonts w:hint="eastAsia" w:ascii="宋体" w:hAnsi="宋体" w:cs="宋体"/>
                <w:szCs w:val="21"/>
                <w:lang w:val="en-US" w:eastAsia="zh-CN"/>
              </w:rPr>
              <w:t>物资部</w:t>
            </w:r>
            <w:r>
              <w:rPr>
                <w:rFonts w:hint="eastAsia" w:ascii="宋体" w:hAnsi="宋体"/>
                <w:szCs w:val="21"/>
              </w:rPr>
              <w:t>时，未能提供应急预案记录，针对该不符合项，已及时采取纠正措施后，经内审员验证关闭。内审的有效性需要改善。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年1月</w:t>
            </w:r>
            <w:r>
              <w:rPr>
                <w:rFonts w:hint="eastAsia" w:ascii="宋体" w:hAnsi="宋体"/>
                <w:szCs w:val="21"/>
                <w:lang w:val="en-US" w:eastAsia="zh-CN"/>
              </w:rPr>
              <w:t>16</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rFonts w:ascii="Times New Roman" w:hAnsi="Times New Roman" w:eastAsia="宋体" w:cs="Times New Roman"/>
                <w:b/>
                <w:color w:val="FF0000"/>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4"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w:t>
      </w:r>
      <w:r>
        <w:rPr>
          <w:rFonts w:hint="eastAsia"/>
          <w:b/>
          <w:color w:val="000000" w:themeColor="text1"/>
        </w:rPr>
        <w:t>项，一般不符合</w:t>
      </w:r>
      <w:r>
        <w:rPr>
          <w:rFonts w:hint="eastAsia"/>
          <w:b/>
          <w:color w:val="000000" w:themeColor="text1"/>
          <w:lang w:val="en-US" w:eastAsia="zh-CN"/>
        </w:rPr>
        <w:t xml:space="preserve"> 1 </w:t>
      </w:r>
      <w:r>
        <w:rPr>
          <w:rFonts w:hint="eastAsia"/>
          <w:b/>
          <w:color w:val="000000" w:themeColor="text1"/>
        </w:rPr>
        <w:t>项，观察项</w:t>
      </w:r>
      <w:r>
        <w:rPr>
          <w:rFonts w:hint="eastAsia"/>
          <w:b/>
          <w:color w:val="000000" w:themeColor="text1"/>
          <w:lang w:val="en-US" w:eastAsia="zh-CN"/>
        </w:rPr>
        <w:t xml:space="preserve">  </w:t>
      </w:r>
      <w:r>
        <w:rPr>
          <w:rFonts w:hint="eastAsia"/>
          <w:b/>
          <w:color w:val="000000" w:themeColor="text1"/>
        </w:rPr>
        <w:t>项分布在</w:t>
      </w:r>
      <w:r>
        <w:rPr>
          <w:rFonts w:hint="eastAsia"/>
          <w:b/>
          <w:color w:val="000000" w:themeColor="text1"/>
          <w:lang w:val="en-US" w:eastAsia="zh-CN"/>
        </w:rPr>
        <w:t>综合办公室</w:t>
      </w:r>
      <w:r>
        <w:rPr>
          <w:rFonts w:hint="eastAsia"/>
          <w:b/>
          <w:color w:val="000000" w:themeColor="text1"/>
        </w:rPr>
        <w:t>部门</w:t>
      </w:r>
      <w:r>
        <w:rPr>
          <w:rFonts w:hint="eastAsia"/>
          <w:b/>
          <w:color w:val="000000" w:themeColor="text1"/>
          <w:lang w:val="en-US" w:eastAsia="zh-CN"/>
        </w:rPr>
        <w:t xml:space="preserve"> 7.2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ascii="Times New Roman" w:hAnsi="Times New Roman" w:eastAsia="宋体" w:cs="Times New Roman"/>
                <w:b/>
                <w:color w:val="000000" w:themeColor="text1"/>
                <w:kern w:val="2"/>
                <w:sz w:val="28"/>
                <w:szCs w:val="28"/>
                <w:lang w:val="en-US" w:eastAsia="zh-CN" w:bidi="ar-SA"/>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建材销售所涉及场所的相关环境管理活动</w:t>
            </w:r>
          </w:p>
          <w:p>
            <w:pPr>
              <w:spacing w:line="320" w:lineRule="exact"/>
              <w:rPr>
                <w:rFonts w:ascii="Times New Roman" w:hAnsi="Times New Roman" w:eastAsia="宋体" w:cs="Times New Roman"/>
                <w:b/>
                <w:color w:val="000000" w:themeColor="text1"/>
                <w:spacing w:val="-10"/>
                <w:kern w:val="2"/>
                <w:sz w:val="22"/>
                <w:szCs w:val="22"/>
                <w:lang w:val="en-US" w:eastAsia="zh-CN" w:bidi="ar-SA"/>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 xml:space="preserve">建材销售所涉及场所的相关职业健康安全管理活动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96128" behindDoc="0" locked="0" layoutInCell="1" allowOverlap="1">
            <wp:simplePos x="0" y="0"/>
            <wp:positionH relativeFrom="column">
              <wp:posOffset>1637665</wp:posOffset>
            </wp:positionH>
            <wp:positionV relativeFrom="paragraph">
              <wp:posOffset>393700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93056" behindDoc="0" locked="0" layoutInCell="1" allowOverlap="1">
            <wp:simplePos x="0" y="0"/>
            <wp:positionH relativeFrom="column">
              <wp:posOffset>2632075</wp:posOffset>
            </wp:positionH>
            <wp:positionV relativeFrom="paragraph">
              <wp:posOffset>203835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84864" behindDoc="1" locked="0" layoutInCell="1" allowOverlap="1">
            <wp:simplePos x="0" y="0"/>
            <wp:positionH relativeFrom="column">
              <wp:posOffset>1616075</wp:posOffset>
            </wp:positionH>
            <wp:positionV relativeFrom="paragraph">
              <wp:posOffset>185420</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8"/>
                    <a:stretch>
                      <a:fillRect/>
                    </a:stretch>
                  </pic:blipFill>
                  <pic:spPr>
                    <a:xfrm>
                      <a:off x="0" y="0"/>
                      <a:ext cx="812800" cy="2794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30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bookmarkStart w:id="22" w:name="_GoBack"/>
      <w:bookmarkEnd w:id="22"/>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99200" behindDoc="0" locked="0" layoutInCell="1" allowOverlap="1">
            <wp:simplePos x="0" y="0"/>
            <wp:positionH relativeFrom="column">
              <wp:posOffset>788670</wp:posOffset>
            </wp:positionH>
            <wp:positionV relativeFrom="paragraph">
              <wp:posOffset>161925</wp:posOffset>
            </wp:positionV>
            <wp:extent cx="323850" cy="335280"/>
            <wp:effectExtent l="0" t="0" r="6350" b="762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0DDA"/>
    <w:multiLevelType w:val="singleLevel"/>
    <w:tmpl w:val="0AD60DDA"/>
    <w:lvl w:ilvl="0" w:tentative="0">
      <w:start w:val="4"/>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2E0BD6"/>
    <w:rsid w:val="3208113F"/>
    <w:rsid w:val="493931E4"/>
    <w:rsid w:val="63254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2021-01-29T05:45:28Z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