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四川省交通物资有限责任公司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0057-2021-EO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E：建材销售所涉及场所的相关环境管理活动</w:t>
            </w:r>
          </w:p>
          <w:p>
            <w:r>
              <w:t>O：建材销售所涉及场所的相关职业健康安全管理活动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E：29.11.03</w:t>
            </w:r>
          </w:p>
          <w:p>
            <w:r>
              <w:t>O：29.11.03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2021年01月25日 上午至2021年01月25日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705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（</w:t>
            </w:r>
            <w:r>
              <w:rPr>
                <w:rFonts w:hint="eastAsia"/>
                <w:b/>
                <w:sz w:val="20"/>
              </w:rPr>
              <w:t>审核人员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文平、余家龙）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  <w:bookmarkStart w:id="14" w:name="_GoBack"/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bookmarkEnd w:id="14"/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30（含午休1小时）</w:t>
            </w:r>
          </w:p>
        </w:tc>
        <w:tc>
          <w:tcPr>
            <w:tcW w:w="70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  （</w:t>
            </w:r>
            <w:r>
              <w:rPr>
                <w:rFonts w:hint="eastAsia"/>
                <w:b/>
                <w:sz w:val="20"/>
              </w:rPr>
              <w:t>审核人员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文平、余家龙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0230D"/>
    <w:rsid w:val="26136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2021-01-28T01:06:48Z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