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滁州滁能热电有限公司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2"/>
          <w:rFonts w:hint="eastAsia" w:ascii="楷体" w:hAnsi="楷体" w:eastAsia="楷体"/>
          <w:b/>
          <w:sz w:val="36"/>
          <w:szCs w:val="36"/>
        </w:rPr>
        <w:t>www.china-isc.org.cn</w:t>
      </w:r>
      <w:r>
        <w:fldChar w:fldCharType="end"/>
      </w: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周涛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Q:25.01.01</w:t>
            </w:r>
          </w:p>
          <w:p>
            <w:pPr>
              <w:spacing w:line="240" w:lineRule="exact"/>
              <w:jc w:val="center"/>
              <w:rPr>
                <w:b/>
                <w:color w:val="000000" w:themeColor="text1"/>
                <w:sz w:val="20"/>
                <w:szCs w:val="20"/>
              </w:rPr>
            </w:pPr>
            <w:r>
              <w:rPr>
                <w:b/>
                <w:color w:val="000000" w:themeColor="text1"/>
                <w:sz w:val="20"/>
                <w:szCs w:val="20"/>
              </w:rPr>
              <w:t>E:25.01.01</w:t>
            </w:r>
          </w:p>
          <w:p>
            <w:pPr>
              <w:spacing w:line="240" w:lineRule="exact"/>
              <w:jc w:val="center"/>
              <w:rPr>
                <w:b/>
                <w:color w:val="000000" w:themeColor="text1"/>
                <w:sz w:val="20"/>
                <w:szCs w:val="20"/>
              </w:rPr>
            </w:pPr>
            <w:r>
              <w:rPr>
                <w:b/>
                <w:color w:val="000000" w:themeColor="text1"/>
                <w:sz w:val="20"/>
                <w:szCs w:val="20"/>
              </w:rPr>
              <w:t>O:25.01.01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bl>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3"/>
        <w:numPr>
          <w:ilvl w:val="0"/>
          <w:numId w:val="1"/>
        </w:numPr>
        <w:ind w:left="-142" w:hanging="709" w:firstLineChars="0"/>
        <w:rPr>
          <w:rFonts w:hint="eastAsia" w:ascii="宋体" w:hAnsi="宋体"/>
          <w:b/>
          <w:color w:val="000000" w:themeColor="text1"/>
          <w:spacing w:val="-10"/>
          <w:sz w:val="20"/>
          <w:szCs w:val="20"/>
          <w:lang w:val="en-US" w:eastAsia="zh-CN"/>
        </w:rPr>
      </w:pPr>
      <w:r>
        <w:rPr>
          <w:rFonts w:hint="eastAsia" w:ascii="宋体" w:hAnsi="宋体"/>
          <w:b/>
          <w:color w:val="000000" w:themeColor="text1"/>
          <w:sz w:val="26"/>
          <w:szCs w:val="26"/>
        </w:rPr>
        <w:t>审核准则</w:t>
      </w:r>
      <w:bookmarkStart w:id="4" w:name="审核依据"/>
    </w:p>
    <w:p>
      <w:pPr>
        <w:pStyle w:val="13"/>
        <w:numPr>
          <w:ilvl w:val="0"/>
          <w:numId w:val="0"/>
        </w:numPr>
        <w:ind w:left="-851" w:leftChars="0" w:firstLine="362" w:firstLineChars="200"/>
        <w:rPr>
          <w:rFonts w:hint="eastAsia" w:ascii="宋体" w:hAnsi="宋体"/>
          <w:b/>
          <w:color w:val="000000" w:themeColor="text1"/>
          <w:spacing w:val="-10"/>
          <w:sz w:val="20"/>
          <w:szCs w:val="20"/>
          <w:lang w:val="en-US" w:eastAsia="zh-CN"/>
        </w:rPr>
      </w:pPr>
      <w:r>
        <w:rPr>
          <w:rFonts w:hint="eastAsia" w:ascii="宋体" w:hAnsi="宋体"/>
          <w:b/>
          <w:color w:val="000000" w:themeColor="text1"/>
          <w:spacing w:val="-10"/>
          <w:sz w:val="20"/>
          <w:szCs w:val="20"/>
        </w:rPr>
        <w:t>Q：GB/T19001-2016/ISO9001:2015,E：GB/T 24001-2016/ISO14001:2015,O：GB/T45001-2020 / ISO45001：201</w:t>
      </w:r>
      <w:bookmarkEnd w:id="4"/>
      <w:r>
        <w:rPr>
          <w:rFonts w:hint="eastAsia" w:ascii="宋体" w:hAnsi="宋体"/>
          <w:b/>
          <w:color w:val="000000" w:themeColor="text1"/>
          <w:spacing w:val="-10"/>
          <w:sz w:val="20"/>
          <w:szCs w:val="20"/>
          <w:lang w:val="en-US" w:eastAsia="zh-CN"/>
        </w:rPr>
        <w:t>8</w:t>
      </w:r>
    </w:p>
    <w:p>
      <w:pPr>
        <w:pStyle w:val="13"/>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滁州滁能热电有限公司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120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both"/>
              <w:rPr>
                <w:rFonts w:ascii="宋体" w:hAnsi="宋体"/>
                <w:b/>
                <w:color w:val="000000" w:themeColor="text1"/>
                <w:sz w:val="20"/>
                <w:szCs w:val="20"/>
              </w:rPr>
            </w:pPr>
            <w:bookmarkStart w:id="7" w:name="注册地址"/>
            <w:r>
              <w:rPr>
                <w:rFonts w:ascii="宋体" w:hAnsi="宋体"/>
                <w:b/>
                <w:color w:val="000000" w:themeColor="text1"/>
                <w:sz w:val="20"/>
                <w:szCs w:val="20"/>
              </w:rPr>
              <w:t>安徽省滁州市苏州南路789号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239000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安徽省滁州市苏州南路789号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pacing w:val="-20"/>
                <w:sz w:val="20"/>
                <w:szCs w:val="20"/>
              </w:rPr>
              <w:t>239000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余学好</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0550-6821509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鲁国伟</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牟永春</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Q：供电服务(限许可范围内）</w:t>
            </w:r>
          </w:p>
          <w:p>
            <w:pPr>
              <w:spacing w:line="320" w:lineRule="exact"/>
              <w:rPr>
                <w:rFonts w:ascii="宋体" w:hAnsi="宋体"/>
                <w:b/>
                <w:color w:val="000000" w:themeColor="text1"/>
                <w:sz w:val="20"/>
                <w:szCs w:val="20"/>
              </w:rPr>
            </w:pPr>
            <w:r>
              <w:rPr>
                <w:rFonts w:ascii="宋体" w:hAnsi="宋体"/>
                <w:b/>
                <w:color w:val="000000" w:themeColor="text1"/>
                <w:sz w:val="20"/>
                <w:szCs w:val="20"/>
              </w:rPr>
              <w:t>E：供电服务(限许可范围内）所涉及场所相关的环境管理活动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O：供电服务(限许可范围内）所涉及场所相关的职业健康安全管理活动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Q：25.01.01</w:t>
            </w:r>
          </w:p>
          <w:p>
            <w:pPr>
              <w:spacing w:line="320" w:lineRule="exact"/>
              <w:rPr>
                <w:rFonts w:ascii="宋体" w:hAnsi="宋体"/>
                <w:b/>
                <w:color w:val="000000" w:themeColor="text1"/>
                <w:sz w:val="20"/>
                <w:szCs w:val="20"/>
              </w:rPr>
            </w:pPr>
            <w:r>
              <w:rPr>
                <w:rFonts w:ascii="宋体" w:hAnsi="宋体"/>
                <w:b/>
                <w:color w:val="000000" w:themeColor="text1"/>
                <w:sz w:val="20"/>
                <w:szCs w:val="20"/>
              </w:rPr>
              <w:t>E：25.01.01</w:t>
            </w:r>
          </w:p>
          <w:p>
            <w:pPr>
              <w:spacing w:line="320" w:lineRule="exact"/>
              <w:rPr>
                <w:rFonts w:ascii="宋体" w:hAnsi="宋体"/>
                <w:b/>
                <w:color w:val="000000" w:themeColor="text1"/>
                <w:sz w:val="20"/>
                <w:szCs w:val="20"/>
              </w:rPr>
            </w:pPr>
            <w:r>
              <w:rPr>
                <w:rFonts w:ascii="宋体" w:hAnsi="宋体"/>
                <w:b/>
                <w:color w:val="000000" w:themeColor="text1"/>
                <w:sz w:val="20"/>
                <w:szCs w:val="20"/>
              </w:rPr>
              <w:t>O：25.01.01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w:t>
            </w:r>
            <w:r>
              <w:rPr>
                <w:rFonts w:hint="eastAsia" w:ascii="宋体" w:hAnsi="宋体"/>
                <w:b/>
                <w:color w:val="000000" w:themeColor="text1"/>
                <w:sz w:val="20"/>
                <w:szCs w:val="20"/>
                <w:lang w:val="en-US" w:eastAsia="zh-CN"/>
              </w:rPr>
              <w:t>6</w:t>
            </w:r>
            <w:r>
              <w:rPr>
                <w:rFonts w:ascii="宋体" w:hAnsi="宋体"/>
                <w:b/>
                <w:color w:val="000000" w:themeColor="text1"/>
                <w:sz w:val="20"/>
                <w:szCs w:val="20"/>
              </w:rPr>
              <w:t>-01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w:t>
            </w:r>
            <w:r>
              <w:rPr>
                <w:rFonts w:hint="eastAsia" w:ascii="宋体" w:hAnsi="宋体"/>
                <w:b/>
                <w:color w:val="000000" w:themeColor="text1"/>
                <w:sz w:val="20"/>
                <w:szCs w:val="20"/>
                <w:lang w:val="en-US" w:eastAsia="zh-CN"/>
              </w:rPr>
              <w:t xml:space="preserve">    </w:t>
            </w:r>
            <w:r>
              <w:rPr>
                <w:rFonts w:hint="eastAsia" w:ascii="宋体" w:hAnsi="宋体"/>
                <w:b/>
                <w:color w:val="000000" w:themeColor="text1"/>
                <w:sz w:val="20"/>
                <w:szCs w:val="20"/>
              </w:rPr>
              <w:t>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val="0"/>
                <w:bCs/>
                <w:color w:val="000000" w:themeColor="text1"/>
                <w:sz w:val="20"/>
                <w:szCs w:val="20"/>
                <w:lang w:val="en-US" w:eastAsia="zh-CN"/>
              </w:rPr>
            </w:pPr>
            <w:r>
              <w:rPr>
                <w:rFonts w:hint="eastAsia" w:ascii="宋体" w:hAnsi="宋体"/>
                <w:b w:val="0"/>
                <w:bCs/>
                <w:color w:val="000000" w:themeColor="text1"/>
                <w:sz w:val="20"/>
                <w:szCs w:val="20"/>
                <w:lang w:val="en-US" w:eastAsia="zh-CN"/>
              </w:rPr>
              <w:t>管理层</w:t>
            </w:r>
          </w:p>
        </w:tc>
        <w:tc>
          <w:tcPr>
            <w:tcW w:w="6804" w:type="dxa"/>
          </w:tcPr>
          <w:p>
            <w:pPr>
              <w:jc w:val="center"/>
              <w:rPr>
                <w:rFonts w:hint="default" w:ascii="宋体" w:hAnsi="宋体" w:eastAsia="宋体"/>
                <w:b w:val="0"/>
                <w:bCs/>
                <w:color w:val="000000" w:themeColor="text1"/>
                <w:spacing w:val="-20"/>
                <w:sz w:val="20"/>
                <w:szCs w:val="20"/>
                <w:u w:val="single"/>
                <w:lang w:val="en-US" w:eastAsia="zh-CN"/>
              </w:rPr>
            </w:pPr>
            <w:r>
              <w:rPr>
                <w:rFonts w:hint="eastAsia" w:ascii="宋体" w:hAnsi="宋体"/>
                <w:b w:val="0"/>
                <w:bCs/>
                <w:color w:val="000000" w:themeColor="text1"/>
                <w:spacing w:val="-20"/>
                <w:sz w:val="20"/>
                <w:szCs w:val="20"/>
                <w:u w:val="single"/>
                <w:lang w:val="en-US" w:eastAsia="zh-CN"/>
              </w:rPr>
              <w:t>负责总体策划、资源提供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val="0"/>
                <w:bCs/>
                <w:color w:val="000000" w:themeColor="text1"/>
                <w:sz w:val="20"/>
                <w:szCs w:val="20"/>
                <w:lang w:val="en-US" w:eastAsia="zh-CN"/>
              </w:rPr>
            </w:pPr>
            <w:r>
              <w:rPr>
                <w:rFonts w:hint="eastAsia" w:ascii="宋体" w:hAnsi="宋体"/>
                <w:b w:val="0"/>
                <w:bCs/>
                <w:color w:val="000000" w:themeColor="text1"/>
                <w:sz w:val="20"/>
                <w:szCs w:val="20"/>
                <w:lang w:val="en-US" w:eastAsia="zh-CN"/>
              </w:rPr>
              <w:t>综合部</w:t>
            </w:r>
          </w:p>
        </w:tc>
        <w:tc>
          <w:tcPr>
            <w:tcW w:w="6804" w:type="dxa"/>
          </w:tcPr>
          <w:p>
            <w:pPr>
              <w:jc w:val="center"/>
              <w:rPr>
                <w:rFonts w:hint="default" w:ascii="宋体" w:hAnsi="宋体" w:eastAsia="宋体"/>
                <w:b w:val="0"/>
                <w:bCs/>
                <w:color w:val="000000" w:themeColor="text1"/>
                <w:spacing w:val="-20"/>
                <w:sz w:val="20"/>
                <w:szCs w:val="20"/>
                <w:u w:val="single"/>
                <w:lang w:val="en-US" w:eastAsia="zh-CN"/>
              </w:rPr>
            </w:pPr>
            <w:r>
              <w:rPr>
                <w:rFonts w:hint="eastAsia" w:ascii="宋体" w:hAnsi="宋体"/>
                <w:b w:val="0"/>
                <w:bCs/>
                <w:color w:val="000000" w:themeColor="text1"/>
                <w:spacing w:val="-20"/>
                <w:sz w:val="20"/>
                <w:szCs w:val="20"/>
                <w:u w:val="single"/>
                <w:lang w:val="en-US" w:eastAsia="zh-CN"/>
              </w:rPr>
              <w:t>负责体系的推进工作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val="0"/>
                <w:bCs/>
                <w:color w:val="000000" w:themeColor="text1"/>
                <w:sz w:val="20"/>
                <w:szCs w:val="20"/>
                <w:lang w:val="en-US" w:eastAsia="zh-CN"/>
              </w:rPr>
            </w:pPr>
            <w:r>
              <w:rPr>
                <w:rFonts w:hint="eastAsia" w:ascii="宋体" w:hAnsi="宋体"/>
                <w:b w:val="0"/>
                <w:bCs/>
                <w:color w:val="000000" w:themeColor="text1"/>
                <w:sz w:val="20"/>
                <w:szCs w:val="20"/>
                <w:lang w:val="en-US" w:eastAsia="zh-CN"/>
              </w:rPr>
              <w:t>运行部</w:t>
            </w:r>
          </w:p>
        </w:tc>
        <w:tc>
          <w:tcPr>
            <w:tcW w:w="6804" w:type="dxa"/>
          </w:tcPr>
          <w:p>
            <w:pPr>
              <w:jc w:val="center"/>
              <w:rPr>
                <w:rFonts w:hint="default" w:ascii="宋体" w:hAnsi="宋体" w:eastAsia="宋体"/>
                <w:b w:val="0"/>
                <w:bCs/>
                <w:color w:val="000000" w:themeColor="text1"/>
                <w:spacing w:val="-20"/>
                <w:sz w:val="20"/>
                <w:szCs w:val="20"/>
                <w:u w:val="single"/>
                <w:lang w:val="en-US" w:eastAsia="zh-CN"/>
              </w:rPr>
            </w:pPr>
            <w:r>
              <w:rPr>
                <w:rFonts w:hint="eastAsia" w:ascii="宋体" w:hAnsi="宋体"/>
                <w:b w:val="0"/>
                <w:bCs/>
                <w:color w:val="000000" w:themeColor="text1"/>
                <w:spacing w:val="-20"/>
                <w:sz w:val="20"/>
                <w:szCs w:val="20"/>
                <w:u w:val="single"/>
                <w:lang w:val="en-US" w:eastAsia="zh-CN"/>
              </w:rPr>
              <w:t>负责电力实现的运行工作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val="0"/>
                <w:bCs/>
                <w:color w:val="000000" w:themeColor="text1"/>
                <w:sz w:val="20"/>
                <w:szCs w:val="20"/>
                <w:lang w:val="en-US" w:eastAsia="zh-CN"/>
              </w:rPr>
            </w:pPr>
            <w:r>
              <w:rPr>
                <w:rFonts w:hint="eastAsia" w:ascii="宋体" w:hAnsi="宋体"/>
                <w:b w:val="0"/>
                <w:bCs/>
                <w:color w:val="000000" w:themeColor="text1"/>
                <w:sz w:val="20"/>
                <w:szCs w:val="20"/>
                <w:lang w:val="en-US" w:eastAsia="zh-CN"/>
              </w:rPr>
              <w:t>采购部</w:t>
            </w:r>
          </w:p>
        </w:tc>
        <w:tc>
          <w:tcPr>
            <w:tcW w:w="6804" w:type="dxa"/>
          </w:tcPr>
          <w:p>
            <w:pPr>
              <w:jc w:val="center"/>
              <w:rPr>
                <w:rFonts w:hint="default" w:ascii="宋体" w:hAnsi="宋体" w:eastAsia="宋体"/>
                <w:b w:val="0"/>
                <w:bCs/>
                <w:color w:val="000000" w:themeColor="text1"/>
                <w:spacing w:val="-20"/>
                <w:sz w:val="20"/>
                <w:szCs w:val="20"/>
                <w:u w:val="single"/>
                <w:lang w:val="en-US" w:eastAsia="zh-CN"/>
              </w:rPr>
            </w:pPr>
            <w:r>
              <w:rPr>
                <w:rFonts w:hint="eastAsia" w:ascii="宋体" w:hAnsi="宋体"/>
                <w:b w:val="0"/>
                <w:bCs/>
                <w:color w:val="000000" w:themeColor="text1"/>
                <w:spacing w:val="-20"/>
                <w:sz w:val="20"/>
                <w:szCs w:val="20"/>
                <w:u w:val="single"/>
                <w:lang w:val="en-US" w:eastAsia="zh-CN"/>
              </w:rPr>
              <w:t>负责原材料煤及其他材料采购工作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hint="default" w:ascii="宋体" w:hAnsi="宋体" w:eastAsia="宋体"/>
                <w:b w:val="0"/>
                <w:bCs/>
                <w:color w:val="000000" w:themeColor="text1"/>
                <w:szCs w:val="21"/>
                <w:lang w:val="en-US" w:eastAsia="zh-CN"/>
              </w:rPr>
            </w:pPr>
            <w:r>
              <w:rPr>
                <w:rFonts w:hint="eastAsia" w:ascii="宋体" w:hAnsi="宋体"/>
                <w:b w:val="0"/>
                <w:bCs/>
                <w:color w:val="000000" w:themeColor="text1"/>
                <w:szCs w:val="21"/>
                <w:lang w:val="en-US" w:eastAsia="zh-CN"/>
              </w:rPr>
              <w:t xml:space="preserve">           安环部</w:t>
            </w:r>
          </w:p>
        </w:tc>
        <w:tc>
          <w:tcPr>
            <w:tcW w:w="6804" w:type="dxa"/>
          </w:tcPr>
          <w:p>
            <w:pPr>
              <w:jc w:val="center"/>
              <w:rPr>
                <w:rFonts w:hint="default" w:ascii="宋体" w:hAnsi="宋体" w:eastAsia="宋体"/>
                <w:b w:val="0"/>
                <w:bCs/>
                <w:color w:val="000000" w:themeColor="text1"/>
                <w:spacing w:val="-20"/>
                <w:szCs w:val="21"/>
                <w:u w:val="single"/>
                <w:lang w:val="en-US" w:eastAsia="zh-CN"/>
              </w:rPr>
            </w:pPr>
            <w:r>
              <w:rPr>
                <w:rFonts w:hint="eastAsia" w:ascii="宋体" w:hAnsi="宋体"/>
                <w:b w:val="0"/>
                <w:bCs/>
                <w:color w:val="000000" w:themeColor="text1"/>
                <w:spacing w:val="-20"/>
                <w:szCs w:val="21"/>
                <w:u w:val="single"/>
                <w:lang w:val="en-US" w:eastAsia="zh-CN"/>
              </w:rPr>
              <w:t>负责职业健康安全和环境保护工作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hint="default" w:ascii="宋体" w:hAnsi="宋体"/>
                <w:b w:val="0"/>
                <w:bCs/>
                <w:color w:val="000000" w:themeColor="text1"/>
                <w:szCs w:val="21"/>
                <w:lang w:val="en-US" w:eastAsia="zh-CN"/>
              </w:rPr>
            </w:pPr>
            <w:r>
              <w:rPr>
                <w:rFonts w:hint="eastAsia" w:ascii="宋体" w:hAnsi="宋体"/>
                <w:b w:val="0"/>
                <w:bCs/>
                <w:color w:val="000000" w:themeColor="text1"/>
                <w:szCs w:val="21"/>
                <w:lang w:val="en-US" w:eastAsia="zh-CN"/>
              </w:rPr>
              <w:t xml:space="preserve">           检修部</w:t>
            </w:r>
          </w:p>
        </w:tc>
        <w:tc>
          <w:tcPr>
            <w:tcW w:w="6804" w:type="dxa"/>
          </w:tcPr>
          <w:p>
            <w:pPr>
              <w:jc w:val="center"/>
              <w:rPr>
                <w:rFonts w:hint="default" w:ascii="宋体" w:hAnsi="宋体" w:eastAsia="宋体"/>
                <w:b w:val="0"/>
                <w:bCs/>
                <w:color w:val="000000" w:themeColor="text1"/>
                <w:spacing w:val="-20"/>
                <w:szCs w:val="21"/>
                <w:u w:val="single"/>
                <w:lang w:val="en-US" w:eastAsia="zh-CN"/>
              </w:rPr>
            </w:pPr>
            <w:r>
              <w:rPr>
                <w:rFonts w:hint="eastAsia" w:ascii="宋体" w:hAnsi="宋体"/>
                <w:b w:val="0"/>
                <w:bCs/>
                <w:color w:val="000000" w:themeColor="text1"/>
                <w:spacing w:val="-20"/>
                <w:szCs w:val="21"/>
                <w:u w:val="single"/>
                <w:lang w:val="en-US" w:eastAsia="zh-CN"/>
              </w:rPr>
              <w:t>负责基础设备的维护和保养工作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hint="default" w:ascii="宋体" w:hAnsi="宋体"/>
                <w:b w:val="0"/>
                <w:bCs/>
                <w:color w:val="000000" w:themeColor="text1"/>
                <w:szCs w:val="21"/>
                <w:lang w:val="en-US" w:eastAsia="zh-CN"/>
              </w:rPr>
            </w:pPr>
            <w:r>
              <w:rPr>
                <w:rFonts w:hint="eastAsia" w:ascii="宋体" w:hAnsi="宋体"/>
                <w:b w:val="0"/>
                <w:bCs/>
                <w:color w:val="000000" w:themeColor="text1"/>
                <w:szCs w:val="21"/>
                <w:lang w:val="en-US" w:eastAsia="zh-CN"/>
              </w:rPr>
              <w:t xml:space="preserve">           财务部</w:t>
            </w:r>
          </w:p>
        </w:tc>
        <w:tc>
          <w:tcPr>
            <w:tcW w:w="6804" w:type="dxa"/>
          </w:tcPr>
          <w:p>
            <w:pPr>
              <w:jc w:val="center"/>
              <w:rPr>
                <w:rFonts w:hint="default" w:ascii="宋体" w:hAnsi="宋体" w:eastAsia="宋体"/>
                <w:b w:val="0"/>
                <w:bCs/>
                <w:color w:val="000000" w:themeColor="text1"/>
                <w:spacing w:val="-20"/>
                <w:szCs w:val="21"/>
                <w:u w:val="single"/>
                <w:lang w:val="en-US" w:eastAsia="zh-CN"/>
              </w:rPr>
            </w:pPr>
            <w:r>
              <w:rPr>
                <w:rFonts w:hint="eastAsia" w:ascii="宋体" w:hAnsi="宋体"/>
                <w:b w:val="0"/>
                <w:bCs/>
                <w:color w:val="000000" w:themeColor="text1"/>
                <w:spacing w:val="-20"/>
                <w:szCs w:val="21"/>
                <w:u w:val="single"/>
                <w:lang w:val="en-US" w:eastAsia="zh-CN"/>
              </w:rPr>
              <w:t>负责资金的提供工作</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416"/>
        <w:gridCol w:w="980"/>
        <w:gridCol w:w="5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416"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980" w:type="dxa"/>
          </w:tcPr>
          <w:p>
            <w:pPr>
              <w:rPr>
                <w:b/>
                <w:color w:val="000000" w:themeColor="text1"/>
                <w:sz w:val="20"/>
                <w:szCs w:val="20"/>
              </w:rPr>
            </w:pPr>
            <w:r>
              <w:rPr>
                <w:rFonts w:hint="eastAsia"/>
                <w:b/>
                <w:color w:val="000000" w:themeColor="text1"/>
                <w:sz w:val="20"/>
                <w:szCs w:val="20"/>
              </w:rPr>
              <w:t>规格</w:t>
            </w:r>
          </w:p>
        </w:tc>
        <w:tc>
          <w:tcPr>
            <w:tcW w:w="5509"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ind w:firstLine="400" w:firstLineChars="200"/>
              <w:rPr>
                <w:rFonts w:hint="eastAsia" w:eastAsia="宋体"/>
                <w:b w:val="0"/>
                <w:bCs/>
                <w:color w:val="000000" w:themeColor="text1"/>
                <w:sz w:val="20"/>
                <w:szCs w:val="20"/>
                <w:lang w:val="en-US" w:eastAsia="zh-CN"/>
              </w:rPr>
            </w:pPr>
            <w:r>
              <w:rPr>
                <w:rFonts w:hint="eastAsia"/>
                <w:b w:val="0"/>
                <w:bCs/>
                <w:color w:val="000000" w:themeColor="text1"/>
                <w:sz w:val="20"/>
                <w:szCs w:val="20"/>
                <w:lang w:val="en-US" w:eastAsia="zh-CN"/>
              </w:rPr>
              <w:t>电力</w:t>
            </w:r>
          </w:p>
        </w:tc>
        <w:tc>
          <w:tcPr>
            <w:tcW w:w="1416" w:type="dxa"/>
          </w:tcPr>
          <w:p>
            <w:pPr>
              <w:rPr>
                <w:rFonts w:hint="eastAsia" w:eastAsia="宋体"/>
                <w:b w:val="0"/>
                <w:bCs/>
                <w:color w:val="000000" w:themeColor="text1"/>
                <w:sz w:val="20"/>
                <w:szCs w:val="20"/>
                <w:lang w:val="en-US" w:eastAsia="zh-CN"/>
              </w:rPr>
            </w:pPr>
            <w:r>
              <w:rPr>
                <w:rFonts w:hint="eastAsia"/>
                <w:b w:val="0"/>
                <w:bCs/>
                <w:color w:val="000000" w:themeColor="text1"/>
                <w:sz w:val="20"/>
                <w:szCs w:val="20"/>
                <w:lang w:val="en-US" w:eastAsia="zh-CN"/>
              </w:rPr>
              <w:t>火力发电</w:t>
            </w:r>
          </w:p>
        </w:tc>
        <w:tc>
          <w:tcPr>
            <w:tcW w:w="980" w:type="dxa"/>
          </w:tcPr>
          <w:p>
            <w:pPr>
              <w:rPr>
                <w:b w:val="0"/>
                <w:bCs/>
                <w:color w:val="000000" w:themeColor="text1"/>
                <w:sz w:val="20"/>
                <w:szCs w:val="20"/>
              </w:rPr>
            </w:pPr>
          </w:p>
        </w:tc>
        <w:tc>
          <w:tcPr>
            <w:tcW w:w="5509" w:type="dxa"/>
          </w:tcPr>
          <w:p>
            <w:pPr>
              <w:rPr>
                <w:b w:val="0"/>
                <w:bCs/>
                <w:color w:val="000000" w:themeColor="text1"/>
                <w:sz w:val="20"/>
                <w:szCs w:val="20"/>
              </w:rPr>
            </w:pPr>
            <w:r>
              <w:rPr>
                <w:rFonts w:hint="eastAsia"/>
                <w:b w:val="0"/>
                <w:bCs/>
                <w:color w:val="000000" w:themeColor="text1"/>
                <w:sz w:val="20"/>
                <w:szCs w:val="20"/>
                <w:lang w:val="en-US" w:eastAsia="zh-CN"/>
              </w:rPr>
              <w:t>DL 5009.1-2014 电力建设安全工作规程 第1部分：火力发电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416" w:type="dxa"/>
          </w:tcPr>
          <w:p>
            <w:pPr>
              <w:rPr>
                <w:b/>
                <w:color w:val="000000" w:themeColor="text1"/>
                <w:sz w:val="20"/>
                <w:szCs w:val="20"/>
              </w:rPr>
            </w:pPr>
          </w:p>
        </w:tc>
        <w:tc>
          <w:tcPr>
            <w:tcW w:w="980" w:type="dxa"/>
          </w:tcPr>
          <w:p>
            <w:pPr>
              <w:rPr>
                <w:b/>
                <w:color w:val="000000" w:themeColor="text1"/>
                <w:sz w:val="20"/>
                <w:szCs w:val="20"/>
              </w:rPr>
            </w:pPr>
          </w:p>
        </w:tc>
        <w:tc>
          <w:tcPr>
            <w:tcW w:w="5509"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416" w:type="dxa"/>
          </w:tcPr>
          <w:p>
            <w:pPr>
              <w:rPr>
                <w:b/>
                <w:color w:val="000000" w:themeColor="text1"/>
                <w:sz w:val="20"/>
                <w:szCs w:val="20"/>
              </w:rPr>
            </w:pPr>
          </w:p>
        </w:tc>
        <w:tc>
          <w:tcPr>
            <w:tcW w:w="980" w:type="dxa"/>
          </w:tcPr>
          <w:p>
            <w:pPr>
              <w:rPr>
                <w:b/>
                <w:color w:val="000000" w:themeColor="text1"/>
                <w:sz w:val="20"/>
                <w:szCs w:val="20"/>
              </w:rPr>
            </w:pPr>
          </w:p>
        </w:tc>
        <w:tc>
          <w:tcPr>
            <w:tcW w:w="5509"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416" w:type="dxa"/>
          </w:tcPr>
          <w:p>
            <w:pPr>
              <w:rPr>
                <w:b/>
                <w:color w:val="000000" w:themeColor="text1"/>
                <w:sz w:val="20"/>
                <w:szCs w:val="20"/>
              </w:rPr>
            </w:pPr>
          </w:p>
        </w:tc>
        <w:tc>
          <w:tcPr>
            <w:tcW w:w="980" w:type="dxa"/>
          </w:tcPr>
          <w:p>
            <w:pPr>
              <w:rPr>
                <w:b/>
                <w:color w:val="000000" w:themeColor="text1"/>
                <w:sz w:val="20"/>
                <w:szCs w:val="20"/>
              </w:rPr>
            </w:pPr>
          </w:p>
        </w:tc>
        <w:tc>
          <w:tcPr>
            <w:tcW w:w="5509"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6</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2</w:t>
      </w:r>
      <w:r>
        <w:rPr>
          <w:rFonts w:hint="eastAsia"/>
          <w:b/>
          <w:color w:val="000000" w:themeColor="text1"/>
          <w:spacing w:val="-10"/>
          <w:szCs w:val="21"/>
        </w:rPr>
        <w:t>月</w:t>
      </w:r>
      <w:r>
        <w:rPr>
          <w:rFonts w:hint="eastAsia"/>
          <w:b/>
          <w:color w:val="000000" w:themeColor="text1"/>
          <w:spacing w:val="-10"/>
          <w:szCs w:val="21"/>
          <w:lang w:val="en-US" w:eastAsia="zh-CN"/>
        </w:rPr>
        <w:t>2</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asciiTheme="minorEastAsia" w:hAnsiTheme="minorEastAsia" w:eastAsiaTheme="minorEastAsia" w:cstheme="minorEastAsia"/>
                <w:color w:val="000000"/>
                <w:sz w:val="18"/>
                <w:szCs w:val="18"/>
                <w:lang w:val="en-US" w:eastAsia="zh-CN"/>
              </w:rPr>
            </w:pPr>
            <w:r>
              <w:rPr>
                <w:b/>
                <w:color w:val="000000" w:themeColor="text1"/>
                <w:sz w:val="20"/>
                <w:szCs w:val="20"/>
              </w:rPr>
              <w:t>1、</w:t>
            </w:r>
            <w:r>
              <w:rPr>
                <w:rFonts w:hint="eastAsia"/>
                <w:b/>
                <w:color w:val="000000" w:themeColor="text1"/>
                <w:sz w:val="20"/>
                <w:szCs w:val="20"/>
              </w:rPr>
              <w:t>组织及其环境的识别情况</w:t>
            </w:r>
            <w:r>
              <w:rPr>
                <w:rFonts w:hint="eastAsia"/>
                <w:b/>
                <w:color w:val="000000" w:themeColor="text1"/>
                <w:sz w:val="20"/>
                <w:szCs w:val="20"/>
                <w:lang w:eastAsia="zh-CN"/>
              </w:rPr>
              <w:t>：</w:t>
            </w:r>
            <w:r>
              <w:rPr>
                <w:rFonts w:hint="eastAsia" w:asciiTheme="minorEastAsia" w:hAnsiTheme="minorEastAsia" w:eastAsiaTheme="minorEastAsia" w:cstheme="minorEastAsia"/>
                <w:color w:val="000000"/>
                <w:sz w:val="18"/>
                <w:szCs w:val="18"/>
              </w:rPr>
              <w:t>滁州</w:t>
            </w:r>
            <w:r>
              <w:rPr>
                <w:rFonts w:hint="eastAsia" w:asciiTheme="minorEastAsia" w:hAnsiTheme="minorEastAsia" w:eastAsiaTheme="minorEastAsia" w:cstheme="minorEastAsia"/>
                <w:color w:val="000000"/>
                <w:sz w:val="18"/>
                <w:szCs w:val="18"/>
                <w:lang w:val="en-US" w:eastAsia="zh-CN"/>
              </w:rPr>
              <w:t>滁能</w:t>
            </w:r>
            <w:r>
              <w:rPr>
                <w:rFonts w:hint="eastAsia" w:asciiTheme="minorEastAsia" w:hAnsiTheme="minorEastAsia" w:eastAsiaTheme="minorEastAsia" w:cstheme="minorEastAsia"/>
                <w:color w:val="000000"/>
                <w:sz w:val="18"/>
                <w:szCs w:val="18"/>
              </w:rPr>
              <w:t>热电有限公司位于滁州经济技术开发区，是经安徽省发改委审核批准的热电联产集中供热企业。公司占地129亩，项目总投资10.5亿元，其中固定资产投资7.86亿元。规划装机规模：2台90吨/小时＋2台130吨/小时高温高压循环流化床锅炉，配套3台15MW高温高压背压式汽轮发电机组。最大对外供汽能力：350吨/小时；全年供汽能力可达210万吨。最大对外供电能力：38.25MW，全年可达 3.3亿度</w:t>
            </w:r>
            <w:r>
              <w:rPr>
                <w:rFonts w:hint="eastAsia" w:asciiTheme="minorEastAsia" w:hAnsiTheme="minorEastAsia" w:eastAsiaTheme="minorEastAsia" w:cstheme="minorEastAsia"/>
                <w:color w:val="000000"/>
                <w:sz w:val="18"/>
                <w:szCs w:val="18"/>
                <w:lang w:val="en-US" w:eastAsia="zh-CN"/>
              </w:rPr>
              <w:t>.</w:t>
            </w:r>
          </w:p>
          <w:p>
            <w:pPr>
              <w:spacing w:line="240" w:lineRule="exac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与</w:t>
            </w:r>
            <w:r>
              <w:rPr>
                <w:rFonts w:hint="eastAsia" w:asciiTheme="minorEastAsia" w:hAnsiTheme="minorEastAsia" w:eastAsiaTheme="minorEastAsia" w:cstheme="minorEastAsia"/>
                <w:color w:val="000000"/>
                <w:sz w:val="18"/>
                <w:szCs w:val="18"/>
                <w:lang w:eastAsia="zh-CN"/>
              </w:rPr>
              <w:t>管理者代表张国龙</w:t>
            </w:r>
            <w:r>
              <w:rPr>
                <w:rFonts w:hint="eastAsia" w:asciiTheme="minorEastAsia" w:hAnsiTheme="minorEastAsia" w:eastAsiaTheme="minorEastAsia" w:cstheme="minorEastAsia"/>
                <w:color w:val="000000"/>
                <w:sz w:val="18"/>
                <w:szCs w:val="18"/>
              </w:rPr>
              <w:t>沟通，简单介绍了公司发展历程、公司文化的形成与发展目标、价值观的沟通，并对如何创造公司良好的内部环境提出要求，对公司目前所处的外部环境也做了简单分析。</w:t>
            </w:r>
          </w:p>
          <w:p>
            <w:pPr>
              <w:spacing w:line="240" w:lineRule="exact"/>
              <w:rPr>
                <w:rFonts w:hint="eastAsia" w:eastAsia="宋体"/>
                <w:b/>
                <w:color w:val="000000" w:themeColor="text1"/>
                <w:sz w:val="20"/>
                <w:szCs w:val="20"/>
                <w:lang w:eastAsia="zh-CN"/>
              </w:rPr>
            </w:pPr>
            <w:r>
              <w:rPr>
                <w:rFonts w:hint="eastAsia" w:asciiTheme="minorEastAsia" w:hAnsiTheme="minorEastAsia" w:eastAsiaTheme="minorEastAsia" w:cstheme="minorEastAsia"/>
                <w:color w:val="000000"/>
                <w:sz w:val="18"/>
                <w:szCs w:val="18"/>
              </w:rPr>
              <w:t>识别了相关内容，确定了监视、评审方法、责任部门、监视频率等。如内部因素：从人力、财务、过程环境、市场营销能力等，外部因素从经济因素、政治因素、竞争力、市场需求等方面。监视评审方法：网上收集、沟通会、政府部门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rFonts w:hint="eastAsia" w:asciiTheme="minorEastAsia" w:hAnsiTheme="minorEastAsia" w:eastAsiaTheme="minorEastAsia" w:cstheme="minorEastAsia"/>
                <w:color w:val="000000"/>
                <w:sz w:val="18"/>
                <w:szCs w:val="18"/>
              </w:rPr>
            </w:pPr>
            <w:r>
              <w:rPr>
                <w:b/>
                <w:color w:val="000000" w:themeColor="text1"/>
                <w:sz w:val="20"/>
                <w:szCs w:val="20"/>
              </w:rPr>
              <w:t>2、</w:t>
            </w:r>
            <w:r>
              <w:rPr>
                <w:rFonts w:hint="eastAsia"/>
                <w:b/>
                <w:color w:val="000000" w:themeColor="text1"/>
                <w:sz w:val="20"/>
                <w:szCs w:val="20"/>
              </w:rPr>
              <w:t>相关方需求和期望识别情况</w:t>
            </w:r>
            <w:r>
              <w:rPr>
                <w:rFonts w:hint="eastAsia"/>
                <w:b/>
                <w:color w:val="000000" w:themeColor="text1"/>
                <w:sz w:val="20"/>
                <w:szCs w:val="20"/>
                <w:lang w:eastAsia="zh-CN"/>
              </w:rPr>
              <w:t>：</w:t>
            </w:r>
            <w:r>
              <w:rPr>
                <w:rFonts w:hint="eastAsia" w:asciiTheme="minorEastAsia" w:hAnsiTheme="minorEastAsia" w:eastAsiaTheme="minorEastAsia" w:cstheme="minorEastAsia"/>
                <w:color w:val="000000"/>
                <w:sz w:val="18"/>
                <w:szCs w:val="18"/>
              </w:rPr>
              <w:t>与</w:t>
            </w:r>
            <w:r>
              <w:rPr>
                <w:rFonts w:hint="eastAsia" w:asciiTheme="minorEastAsia" w:hAnsiTheme="minorEastAsia" w:eastAsiaTheme="minorEastAsia" w:cstheme="minorEastAsia"/>
                <w:color w:val="000000"/>
                <w:sz w:val="18"/>
                <w:szCs w:val="18"/>
                <w:lang w:eastAsia="zh-CN"/>
              </w:rPr>
              <w:t>管理者代表张国龙</w:t>
            </w:r>
            <w:r>
              <w:rPr>
                <w:rFonts w:hint="eastAsia" w:asciiTheme="minorEastAsia" w:hAnsiTheme="minorEastAsia" w:eastAsiaTheme="minorEastAsia" w:cstheme="minorEastAsia"/>
                <w:color w:val="000000"/>
                <w:sz w:val="18"/>
                <w:szCs w:val="18"/>
              </w:rPr>
              <w:t>沟通，相关方包括顾客、股东、员工、供应商、竞争对手、社会团体等。</w:t>
            </w:r>
            <w:r>
              <w:rPr>
                <w:rFonts w:hint="eastAsia" w:asciiTheme="minorEastAsia" w:hAnsiTheme="minorEastAsia" w:eastAsiaTheme="minorEastAsia" w:cstheme="minorEastAsia"/>
                <w:color w:val="000000"/>
                <w:sz w:val="18"/>
                <w:szCs w:val="18"/>
                <w:lang w:val="en-US" w:eastAsia="zh-CN"/>
              </w:rPr>
              <w:t>顾客</w:t>
            </w:r>
            <w:r>
              <w:rPr>
                <w:rFonts w:hint="eastAsia" w:asciiTheme="minorEastAsia" w:hAnsiTheme="minorEastAsia" w:eastAsiaTheme="minorEastAsia" w:cstheme="minorEastAsia"/>
                <w:color w:val="000000"/>
                <w:sz w:val="18"/>
                <w:szCs w:val="18"/>
              </w:rPr>
              <w:t>相关方期望和要求为价格、安全性、合同协议、行业规范标准等。识别的方法为：主动调查、水平对比等。检测指标或项目：顾客满意度、客户投诉率、供方评价表等。</w:t>
            </w:r>
          </w:p>
          <w:p>
            <w:pPr>
              <w:spacing w:line="240" w:lineRule="exact"/>
              <w:rPr>
                <w:rFonts w:hint="eastAsia" w:eastAsia="宋体"/>
                <w:b/>
                <w:color w:val="000000" w:themeColor="text1"/>
                <w:sz w:val="20"/>
                <w:szCs w:val="20"/>
                <w:lang w:eastAsia="zh-CN"/>
              </w:rPr>
            </w:pPr>
            <w:r>
              <w:rPr>
                <w:rFonts w:hint="eastAsia" w:asciiTheme="minorEastAsia" w:hAnsiTheme="minorEastAsia" w:eastAsiaTheme="minorEastAsia" w:cstheme="minorEastAsia"/>
                <w:color w:val="000000"/>
                <w:sz w:val="18"/>
                <w:szCs w:val="18"/>
              </w:rPr>
              <w:t>基本识别了与组织管理体系有关的相关方和要求</w:t>
            </w:r>
            <w:r>
              <w:rPr>
                <w:rFonts w:hint="eastAsia" w:asciiTheme="minorEastAsia" w:hAnsiTheme="minorEastAsia" w:eastAsiaTheme="minorEastAsia" w:cstheme="minorEastAsia"/>
                <w:color w:val="000000"/>
                <w:sz w:val="18"/>
                <w:szCs w:val="18"/>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公司的质量、环境、职业健康安全方针是：</w:t>
            </w:r>
          </w:p>
          <w:p>
            <w:pPr>
              <w:spacing w:line="240" w:lineRule="exac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关注顾客、全员参与、依法管理、预防为主、节能减排、降耗增效， 保员工健康、保生产安全、走可持续发展道路</w:t>
            </w:r>
          </w:p>
          <w:p>
            <w:pPr>
              <w:spacing w:line="240" w:lineRule="exac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rPr>
              <w:t>通过会议传达，沟通，让全体员工理解执行。并定期进行评审（一般一年一次）。</w:t>
            </w:r>
          </w:p>
          <w:p>
            <w:pPr>
              <w:spacing w:line="240" w:lineRule="exact"/>
              <w:rPr>
                <w:b/>
                <w:color w:val="000000" w:themeColor="text1"/>
              </w:rPr>
            </w:pPr>
            <w:r>
              <w:rPr>
                <w:rFonts w:hint="eastAsia" w:asciiTheme="minorEastAsia" w:hAnsiTheme="minorEastAsia" w:eastAsiaTheme="minorEastAsia" w:cstheme="minorEastAsia"/>
                <w:color w:val="000000"/>
                <w:sz w:val="18"/>
                <w:szCs w:val="18"/>
              </w:rPr>
              <w:t>管理评审对质量、环境、职业健康安全方针的适宜性作了评审，判定适宜，适合公司的发展需求。质量、环境和职业健康安全方针符合标准要求。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rFonts w:hint="eastAsia" w:asciiTheme="minorEastAsia" w:hAnsiTheme="minorEastAsia" w:eastAsiaTheme="minorEastAsia" w:cstheme="minorEastAsia"/>
                <w:color w:val="000000"/>
                <w:sz w:val="18"/>
                <w:szCs w:val="18"/>
              </w:rPr>
            </w:pPr>
            <w:r>
              <w:rPr>
                <w:b/>
                <w:color w:val="000000" w:themeColor="text1"/>
              </w:rPr>
              <w:t>4、</w:t>
            </w:r>
            <w:r>
              <w:rPr>
                <w:rFonts w:hint="eastAsia"/>
                <w:b/>
                <w:color w:val="000000" w:themeColor="text1"/>
              </w:rPr>
              <w:t>风险识别与控制策划（QMS）</w:t>
            </w:r>
            <w:r>
              <w:rPr>
                <w:rFonts w:hint="eastAsia" w:asciiTheme="minorEastAsia" w:hAnsiTheme="minorEastAsia" w:eastAsiaTheme="minorEastAsia" w:cstheme="minorEastAsia"/>
                <w:color w:val="000000"/>
                <w:sz w:val="18"/>
                <w:szCs w:val="18"/>
              </w:rPr>
              <w:t>公司制定管理手册中，明确风险和机遇事件的识别方法/途径、风险和机遇事件的评估方式、制定主要风险和机遇事件的应对措施的要求、评价这些措施有效性的方法。</w:t>
            </w:r>
          </w:p>
          <w:p>
            <w:pPr>
              <w:spacing w:line="240" w:lineRule="exac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制定了《风险和机遇的应对控制程序》，提供</w:t>
            </w:r>
            <w:r>
              <w:rPr>
                <w:rFonts w:hint="eastAsia" w:asciiTheme="minorEastAsia" w:hAnsiTheme="minorEastAsia" w:eastAsiaTheme="minorEastAsia" w:cstheme="minorEastAsia"/>
                <w:color w:val="000000"/>
                <w:sz w:val="18"/>
                <w:szCs w:val="18"/>
                <w:lang w:eastAsia="zh-CN"/>
              </w:rPr>
              <w:t>《风险和机遇识别及应对措施表》</w:t>
            </w:r>
            <w:r>
              <w:rPr>
                <w:rFonts w:hint="eastAsia" w:asciiTheme="minorEastAsia" w:hAnsiTheme="minorEastAsia" w:eastAsiaTheme="minorEastAsia" w:cstheme="minorEastAsia"/>
                <w:color w:val="000000"/>
                <w:sz w:val="18"/>
                <w:szCs w:val="18"/>
              </w:rPr>
              <w:t>，按照</w:t>
            </w:r>
            <w:r>
              <w:rPr>
                <w:rFonts w:hint="eastAsia" w:asciiTheme="minorEastAsia" w:hAnsiTheme="minorEastAsia" w:eastAsiaTheme="minorEastAsia" w:cstheme="minorEastAsia"/>
                <w:color w:val="000000"/>
                <w:sz w:val="18"/>
                <w:szCs w:val="18"/>
                <w:lang w:val="en-US" w:eastAsia="zh-CN"/>
              </w:rPr>
              <w:t>企业内外部环境因素</w:t>
            </w:r>
            <w:r>
              <w:rPr>
                <w:rFonts w:hint="eastAsia" w:asciiTheme="minorEastAsia" w:hAnsiTheme="minorEastAsia" w:eastAsiaTheme="minorEastAsia" w:cstheme="minorEastAsia"/>
                <w:color w:val="000000"/>
                <w:sz w:val="18"/>
                <w:szCs w:val="18"/>
              </w:rPr>
              <w:t>对风险和机遇进行了评价识别，并制定应对措施。</w:t>
            </w:r>
          </w:p>
          <w:p>
            <w:pPr>
              <w:spacing w:line="240" w:lineRule="exac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风险如：</w:t>
            </w:r>
            <w:r>
              <w:rPr>
                <w:rFonts w:hint="eastAsia" w:asciiTheme="minorEastAsia" w:hAnsiTheme="minorEastAsia" w:eastAsiaTheme="minorEastAsia" w:cstheme="minorEastAsia"/>
                <w:color w:val="000000"/>
                <w:sz w:val="18"/>
                <w:szCs w:val="18"/>
              </w:rPr>
              <w:t>1、客户对产品质量标准提高，材料要求环保材料，以及对供应周期和售后服务的期望值提升，给公司材料采购、生产、质量和售后管理提出新的要求；2、原材料市场不稳定，希望签订的年度合同和保底价格，带来的采购和资金风险；3、公司目前人员特别是优秀人才被外单位吸引离开的情况还是存在，对公司是比较大的损失。员工业务素质在一定程度上存在参差不齐的情况，加上绩效考核不能有效落实，会对工作完成质量造成不好的影响；4、如果公司现有的运行环境以及设施、设备管理不善，造成的生产停滞，环境污染，会给公司造成很大的生产风险。</w:t>
            </w:r>
          </w:p>
          <w:p>
            <w:pPr>
              <w:spacing w:line="240" w:lineRule="exac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采取措施：1、加强与客户进行质量标准制定的沟通，统一双方的标准和检测方法、生产部门做好生产计划的安排，保证生产计划的执行、销售部加大客户交流沟通，及时处理客户的需求和意见；2、对公司影响较大的大宗原材料做好年度采购计划；3、各部门要及时关注员工的心理变换，注意工作方式，创造良好的工作环境，提高员工的归属感、人资部做好人员的储备，防止人员流失后给公司带来的风险、各职能部门加强绩效考核的有效开展，通过考核促进员工的工作积极性，提高业务素质；4、生产部严格按照公司的年度计划做好设备改造和按照计划的维护工作，提高公司设备、设施稳定性。</w:t>
            </w:r>
          </w:p>
          <w:p>
            <w:pPr>
              <w:spacing w:line="240" w:lineRule="exac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xml:space="preserve">机遇： </w:t>
            </w:r>
            <w:r>
              <w:rPr>
                <w:rFonts w:hint="eastAsia" w:asciiTheme="minorEastAsia" w:hAnsiTheme="minorEastAsia" w:eastAsiaTheme="minorEastAsia" w:cstheme="minorEastAsia"/>
                <w:color w:val="000000"/>
                <w:sz w:val="18"/>
                <w:szCs w:val="18"/>
                <w:lang w:eastAsia="zh-CN"/>
              </w:rPr>
              <w:t>市场竞争的加剧，公司管理水平的提升，会给公司带来潜在的发展机遇</w:t>
            </w:r>
            <w:r>
              <w:rPr>
                <w:rFonts w:hint="eastAsia" w:asciiTheme="minorEastAsia" w:hAnsiTheme="minorEastAsia" w:eastAsiaTheme="minorEastAsia" w:cstheme="minorEastAsia"/>
                <w:color w:val="000000"/>
                <w:sz w:val="18"/>
                <w:szCs w:val="18"/>
              </w:rPr>
              <w:t>；产品的更新，也会带来新的发展机遇；财务状况处理得当，会提高公司整体的竞争力。</w:t>
            </w:r>
          </w:p>
          <w:p>
            <w:pPr>
              <w:spacing w:line="240" w:lineRule="exact"/>
              <w:rPr>
                <w:b/>
                <w:color w:val="000000" w:themeColor="text1"/>
              </w:rPr>
            </w:pPr>
            <w:r>
              <w:rPr>
                <w:rFonts w:hint="eastAsia" w:asciiTheme="minorEastAsia" w:hAnsiTheme="minorEastAsia" w:eastAsiaTheme="minorEastAsia" w:cstheme="minorEastAsia"/>
                <w:color w:val="000000"/>
                <w:sz w:val="18"/>
                <w:szCs w:val="18"/>
              </w:rPr>
              <w:t>风险机遇识别基本充分，应对风险和机遇的措施基本适宜。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eastAsia="zh-CN"/>
              </w:rPr>
              <w:t>：</w:t>
            </w:r>
            <w:r>
              <w:rPr>
                <w:rFonts w:hint="eastAsia" w:ascii="宋体" w:hAnsi="宋体"/>
                <w:b w:val="0"/>
                <w:bCs/>
                <w:color w:val="000000" w:themeColor="text1"/>
                <w:sz w:val="20"/>
                <w:szCs w:val="20"/>
                <w:u w:val="single"/>
                <w:lang w:val="en-US" w:eastAsia="zh-CN"/>
              </w:rPr>
              <w:t>锅炉燃烧、蒸汽轮机</w:t>
            </w:r>
            <w:r>
              <w:rPr>
                <w:rFonts w:hint="eastAsia" w:ascii="宋体" w:hAnsi="宋体" w:eastAsia="宋体" w:cs="Times New Roman"/>
                <w:b w:val="0"/>
                <w:bCs/>
                <w:color w:val="000000" w:themeColor="text1"/>
                <w:sz w:val="20"/>
                <w:szCs w:val="20"/>
                <w:u w:val="single"/>
                <w:lang w:val="en-US" w:eastAsia="zh-CN"/>
              </w:rPr>
              <w:t>发电</w:t>
            </w:r>
            <w:r>
              <w:rPr>
                <w:rFonts w:hint="eastAsia" w:ascii="宋体" w:hAnsi="宋体"/>
                <w:b/>
                <w:color w:val="000000" w:themeColor="text1"/>
                <w:sz w:val="20"/>
                <w:szCs w:val="20"/>
                <w:u w:val="single"/>
              </w:rPr>
              <w:t>，</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w:t>
            </w:r>
          </w:p>
          <w:p>
            <w:pPr>
              <w:spacing w:line="400" w:lineRule="exact"/>
              <w:rPr>
                <w:rFonts w:hint="default" w:ascii="宋体" w:hAnsi="宋体"/>
                <w:b/>
                <w:color w:val="000000" w:themeColor="text1"/>
                <w:szCs w:val="21"/>
                <w:lang w:val="en-US"/>
              </w:rPr>
            </w:pPr>
            <w:r>
              <w:rPr>
                <w:rFonts w:hint="eastAsia" w:ascii="宋体" w:hAnsi="宋体"/>
                <w:b/>
                <w:color w:val="000000" w:themeColor="text1"/>
                <w:sz w:val="20"/>
                <w:szCs w:val="20"/>
              </w:rPr>
              <w:t>不适用条款是</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 xml:space="preserve">   </w:t>
            </w:r>
            <w:r>
              <w:rPr>
                <w:rFonts w:hint="eastAsia" w:ascii="宋体" w:hAnsi="宋体"/>
                <w:b/>
                <w:color w:val="000000" w:themeColor="text1"/>
                <w:sz w:val="20"/>
                <w:szCs w:val="20"/>
              </w:rPr>
              <w:t>，不适用理由：</w:t>
            </w:r>
            <w:r>
              <w:rPr>
                <w:rFonts w:hint="eastAsia" w:ascii="宋体" w:hAnsi="宋体" w:eastAsia="宋体" w:cs="Times New Roman"/>
                <w:b/>
                <w:color w:val="000000" w:themeColor="text1"/>
                <w:sz w:val="20"/>
                <w:szCs w:val="20"/>
                <w:u w:val="single"/>
                <w:lang w:val="en-US" w:eastAsia="zh-CN"/>
              </w:rPr>
              <w:t xml:space="preserve"> </w:t>
            </w:r>
            <w:r>
              <w:rPr>
                <w:rFonts w:hint="eastAsia" w:ascii="宋体" w:hAnsi="宋体" w:cs="Times New Roman"/>
                <w:b/>
                <w:color w:val="000000" w:themeColor="text1"/>
                <w:sz w:val="20"/>
                <w:szCs w:val="20"/>
                <w:u w:val="single"/>
                <w:lang w:val="en-US" w:eastAsia="zh-CN"/>
              </w:rPr>
              <w:t xml:space="preserve">                               。</w:t>
            </w:r>
            <w:bookmarkStart w:id="22" w:name="_GoBack"/>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rFonts w:hint="default" w:eastAsia="宋体"/>
                <w:b/>
                <w:color w:val="000000" w:themeColor="text1"/>
                <w:sz w:val="20"/>
                <w:szCs w:val="20"/>
                <w:lang w:val="en-US" w:eastAsia="zh-CN"/>
              </w:rPr>
            </w:pPr>
            <w:r>
              <w:rPr>
                <w:rFonts w:hint="eastAsia" w:ascii="Times New Roman" w:hAnsi="Times New Roman" w:eastAsia="宋体" w:cs="Times New Roman"/>
                <w:kern w:val="2"/>
                <w:sz w:val="21"/>
                <w:szCs w:val="24"/>
                <w:lang w:val="en-US" w:eastAsia="zh-CN" w:bidi="ar-SA"/>
              </w:rPr>
              <w:t>环境因素辨识充分、重要环境因素评价合理，按规定每年进行一次环境因素辨识及评价，环境因素动态变更及时。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hint="eastAsia"/>
                <w:b/>
                <w:color w:val="000000" w:themeColor="text1"/>
                <w:sz w:val="20"/>
                <w:szCs w:val="20"/>
                <w:lang w:val="en-US" w:eastAsia="zh-CN"/>
              </w:rPr>
            </w:pPr>
            <w:r>
              <w:rPr>
                <w:rFonts w:hint="eastAsia"/>
                <w:b/>
                <w:color w:val="000000" w:themeColor="text1"/>
                <w:sz w:val="20"/>
                <w:szCs w:val="20"/>
                <w:lang w:val="en-US" w:eastAsia="zh-CN"/>
              </w:rPr>
              <w:t>7. OHSMS职业健康安全危险源</w:t>
            </w:r>
          </w:p>
          <w:p>
            <w:pPr>
              <w:spacing w:line="300" w:lineRule="exact"/>
              <w:rPr>
                <w:rFonts w:hint="eastAsia"/>
                <w:b/>
                <w:color w:val="000000" w:themeColor="text1"/>
                <w:sz w:val="20"/>
                <w:szCs w:val="20"/>
                <w:lang w:val="en-US" w:eastAsia="zh-CN"/>
              </w:rPr>
            </w:pPr>
            <w:r>
              <w:rPr>
                <w:rFonts w:hint="eastAsia"/>
                <w:b/>
                <w:color w:val="000000" w:themeColor="text1"/>
                <w:sz w:val="20"/>
                <w:szCs w:val="20"/>
                <w:lang w:val="en-US" w:eastAsia="zh-CN"/>
              </w:rPr>
              <w:t>（职业健康安全危险源辨识是否充分、风险评价合理性，以及风险评价动态变更的及时性等）</w:t>
            </w:r>
          </w:p>
          <w:p>
            <w:pPr>
              <w:pStyle w:val="2"/>
              <w:ind w:left="0" w:leftChars="0" w:firstLine="0" w:firstLineChars="0"/>
            </w:pPr>
            <w:r>
              <w:rPr>
                <w:rFonts w:hint="eastAsia" w:ascii="Times New Roman" w:hAnsi="Times New Roman" w:eastAsia="宋体" w:cs="Times New Roman"/>
                <w:kern w:val="2"/>
                <w:sz w:val="21"/>
                <w:szCs w:val="24"/>
                <w:lang w:val="en-US" w:eastAsia="zh-CN" w:bidi="ar-SA"/>
              </w:rPr>
              <w:t>职业健康安全危险源辨识充分、风险因素评价合理，按规定每年进行一次风险因素辨识及评价，风险因素动态变更及时。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val="0"/>
                <w:bCs/>
                <w:color w:val="000000" w:themeColor="text1"/>
                <w:szCs w:val="21"/>
                <w:lang w:val="en-US" w:eastAsia="zh-CN"/>
              </w:rPr>
              <w:t>会议、通知等。</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val="0"/>
                <w:bCs/>
                <w:color w:val="000000" w:themeColor="text1"/>
                <w:szCs w:val="21"/>
                <w:lang w:val="en-US" w:eastAsia="zh-CN"/>
              </w:rPr>
              <w:t>已经更新。</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1、供电851万度（每吨售汽供电105度，若元气不供汽，每吨售汽供电130度，供电计划进行相应核减）</w:t>
            </w:r>
          </w:p>
          <w:p>
            <w:pPr>
              <w:spacing w:line="240" w:lineRule="exac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2、全场8、热效率86.06%（厂用汽率20%，月底根据实际厂用汽率调整）</w:t>
            </w:r>
          </w:p>
          <w:p>
            <w:pPr>
              <w:spacing w:line="240" w:lineRule="exac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3、管损≤10%</w:t>
            </w:r>
          </w:p>
          <w:p>
            <w:pPr>
              <w:spacing w:line="240" w:lineRule="exac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4、吨煤（原煤）售热量：5.2吨（5500kCal/Kg煤炭）</w:t>
            </w:r>
          </w:p>
          <w:p>
            <w:pPr>
              <w:spacing w:line="240" w:lineRule="exac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5、环保达标100%</w:t>
            </w:r>
          </w:p>
          <w:p>
            <w:pPr>
              <w:spacing w:line="240" w:lineRule="exac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6、环保指标：NOx＜50mg/m3,SO2xi＜35mg/m3，粉尘＜10mg/m3</w:t>
            </w:r>
          </w:p>
          <w:p>
            <w:pPr>
              <w:spacing w:line="240" w:lineRule="exac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7、安全指标：无轻伤及以上事故，无异常停炉停机，两票合格率100%，隐患整改率98%</w:t>
            </w:r>
          </w:p>
          <w:p>
            <w:pPr>
              <w:spacing w:line="240" w:lineRule="exac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8、月用原煤16923吨（包括安兴用汽用煤量），用酸30吨，用碱25吨，用石灰石120吨，用氨水20吨。</w:t>
            </w:r>
          </w:p>
          <w:p>
            <w:pPr>
              <w:spacing w:line="240" w:lineRule="exac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目标可测量，与公司管理方针一致。</w:t>
            </w:r>
          </w:p>
          <w:p>
            <w:pPr>
              <w:spacing w:line="240" w:lineRule="exac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每月由管理部按公司管理目标考核要求统计考核公司管理目标完成情况，提交管理评审会议。查到2020年12月《经济责任制考核通报》完成情况，各项目标均已完成，考核人综合部。</w:t>
            </w:r>
          </w:p>
          <w:p>
            <w:pPr>
              <w:spacing w:line="240" w:lineRule="exac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公司管理目标已分解到各部门，由综合部负责统计考核。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spacing w:line="240" w:lineRule="exac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查见《受控文件清单》，登录有手册、程序、生产服务质量的控制规范、营销服务提供规范、火灾应急响应规范、环境保护管理办法等受控文件，包含了体系要求的成文信息，文件规定基本符合组织实际，满足标准要求。</w:t>
            </w:r>
          </w:p>
          <w:p>
            <w:pPr>
              <w:spacing w:line="240" w:lineRule="exac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抽查：《内审控制程序》、《应急准备和响应控制程序》等管理体系文件，均有编制、审批人员签名，符合要求。</w:t>
            </w:r>
          </w:p>
          <w:p>
            <w:pPr>
              <w:spacing w:line="240" w:lineRule="exac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查文件发放情况：</w:t>
            </w:r>
          </w:p>
          <w:p>
            <w:pPr>
              <w:spacing w:line="240" w:lineRule="exac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提供了《文件发放、回收记录》，所有文件均由综合部发放，有管理手册、程序、作业文件及标准、法律法规等外来文件。显示文件发放均有文件名称、编号、分发号、版本，发放/回收日期等。</w:t>
            </w:r>
          </w:p>
          <w:p>
            <w:pPr>
              <w:spacing w:line="240" w:lineRule="exac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查外来文件管理：</w:t>
            </w:r>
          </w:p>
          <w:p>
            <w:pPr>
              <w:spacing w:line="240" w:lineRule="exac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公司对外来文件及法律法规进行了收集、识别、分发、控制。外来文件采用了统一保管、借阅使用的方法进行控制。由综合部负责通过到主管部门、网上收集、标准发布部门进行购买，并对外来文件的识别、跟踪、控制。查到：《外来文件一览表》、《法律法规清单》，有：《中华人民共和国产品质量法》、《电力行业标准化管理办法》、《中华人民共和国环境保护法》、《中华人民共和国安全生产法》、《电力工程基本建设预算管理制度及规定》等法律法规和执行标准，外来文件管理符合要求。</w:t>
            </w:r>
          </w:p>
          <w:p>
            <w:pPr>
              <w:spacing w:line="240" w:lineRule="exac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现场查看组织综合部文件管理情况，通过纸张、电子版形式文件化，文件名称、编号、内容等字迹清晰，标识易于识别、检索、可追溯，纸质文件存放在文件柜中，防水防潮，储存环境适宜。</w:t>
            </w:r>
          </w:p>
          <w:p>
            <w:pPr>
              <w:spacing w:line="240" w:lineRule="exac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查到了《记录清单》，记录设置符合公司实施运行要求，基本包含了体系要求的相关记录；《记录清单》，内容清晰，规定了记录的名称、编号、保存期限等信息。 记录以名称、编号进行唯一性标识。</w:t>
            </w:r>
          </w:p>
          <w:p>
            <w:pPr>
              <w:spacing w:line="240" w:lineRule="exac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现场查阅了记录：《年度培训计划》、《年度内审计划》、《重要环境因素评价表》、《合规评价报告》等体系运行记录，记录比较完整，内容规范全面，字迹清楚，有填表人、检查人等信息，易于检索，符合要求。</w:t>
            </w:r>
          </w:p>
          <w:p>
            <w:pPr>
              <w:spacing w:line="240" w:lineRule="exac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　 现场察看记录存放处：各类记录分类存放，部门用记录由相关部门保管，置于文件夹或档案盒（袋）内，统一放置于文件资料柜中，干燥、通风、容易查询，记录保存方式和地点基本可以满足受审核方现有的体系运行需求。</w:t>
            </w:r>
          </w:p>
          <w:p>
            <w:pPr>
              <w:spacing w:line="240" w:lineRule="exact"/>
              <w:rPr>
                <w:rFonts w:ascii="宋体" w:hAnsi="宋体"/>
                <w:b/>
                <w:color w:val="000000" w:themeColor="text1"/>
                <w:sz w:val="20"/>
                <w:szCs w:val="20"/>
              </w:rPr>
            </w:pPr>
            <w:r>
              <w:rPr>
                <w:rFonts w:hint="eastAsia" w:asciiTheme="minorEastAsia" w:hAnsiTheme="minorEastAsia" w:eastAsiaTheme="minorEastAsia" w:cstheme="minorEastAsia"/>
                <w:color w:val="000000"/>
                <w:sz w:val="18"/>
                <w:szCs w:val="18"/>
                <w:lang w:val="en-US" w:eastAsia="zh-CN"/>
              </w:rPr>
              <w:t>总体来说，公司文件化信息控制基本有效。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240" w:lineRule="exact"/>
              <w:rPr>
                <w:rFonts w:hint="eastAsia" w:asciiTheme="minorEastAsia" w:hAnsiTheme="minorEastAsia" w:eastAsiaTheme="minorEastAsia" w:cstheme="minorEastAsia"/>
                <w:color w:val="000000"/>
                <w:sz w:val="18"/>
                <w:szCs w:val="18"/>
                <w:lang w:val="en-US" w:eastAsia="zh-CN"/>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r>
              <w:rPr>
                <w:rFonts w:hint="eastAsia" w:asciiTheme="minorEastAsia" w:hAnsiTheme="minorEastAsia" w:eastAsiaTheme="minorEastAsia" w:cstheme="minorEastAsia"/>
                <w:color w:val="000000"/>
                <w:sz w:val="18"/>
                <w:szCs w:val="18"/>
                <w:lang w:val="en-US" w:eastAsia="zh-CN"/>
              </w:rPr>
              <w:t>编制执行《人力资源控制程序》、《岗位工作人员任职要求》，规定了人力资源配备、培训计划与实施，考核与认可等予以规定。</w:t>
            </w:r>
          </w:p>
          <w:p>
            <w:pPr>
              <w:spacing w:line="240" w:lineRule="exac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编制了《岗位工作人员任职要求》，对总经理、管代、各部门负责人、业务员、内审员等岗位规定了年龄、学历、工作经历、工作能力、培训等方面的任职要求及岗位职责。</w:t>
            </w:r>
          </w:p>
          <w:p>
            <w:pPr>
              <w:spacing w:line="240" w:lineRule="exac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每年底由综合部对各岗位人员进行能力考核，根据结果对能力达不到或需加强的采取措施通常是培训。</w:t>
            </w:r>
          </w:p>
          <w:p>
            <w:pPr>
              <w:spacing w:line="240" w:lineRule="exact"/>
              <w:rPr>
                <w:rFonts w:ascii="宋体" w:hAnsi="宋体"/>
                <w:b/>
                <w:color w:val="000000" w:themeColor="text1"/>
                <w:sz w:val="20"/>
                <w:szCs w:val="20"/>
              </w:rPr>
            </w:pPr>
            <w:r>
              <w:rPr>
                <w:rFonts w:hint="eastAsia" w:asciiTheme="minorEastAsia" w:hAnsiTheme="minorEastAsia" w:eastAsiaTheme="minorEastAsia" w:cstheme="minorEastAsia"/>
                <w:color w:val="000000"/>
                <w:sz w:val="18"/>
                <w:szCs w:val="18"/>
                <w:lang w:val="en-US" w:eastAsia="zh-CN"/>
              </w:rPr>
              <w:t>查到《生产管理岗位培训计划》，公司成立领导小组，顾建伟任组长，鲍学兵、范建军任付组长，各部门主管、专工、值长为小组成员，领导小组负责生产管理人员培训规划、工作指导以及培训讲课。增强生产管理人员的安全素质、管理能力和履行岗位职责能力，从而推动企业整体素质提高，增强企业的竞争力，查看《三体系培训计划》培训内容涉及：标准、管理手册程序体系文件、内审员培训、管理制度等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r>
              <w:rPr>
                <w:rFonts w:hint="eastAsia" w:ascii="宋体" w:hAnsi="宋体"/>
                <w:sz w:val="18"/>
                <w:lang w:val="en-US" w:eastAsia="zh-CN"/>
              </w:rPr>
              <w:t>燃运系统、锅炉系统、热力系统、烟气处理系统、灰渣系统、水处理系统、电力系统、办公辅助系统等。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过程运行环境</w:t>
            </w:r>
            <w:r>
              <w:rPr>
                <w:rFonts w:hint="eastAsia" w:ascii="宋体" w:hAnsi="宋体"/>
                <w:b/>
                <w:color w:val="000000" w:themeColor="text1"/>
                <w:sz w:val="20"/>
                <w:szCs w:val="20"/>
                <w:lang w:eastAsia="zh-CN"/>
              </w:rPr>
              <w:t>：</w:t>
            </w:r>
            <w:r>
              <w:rPr>
                <w:rFonts w:hint="eastAsia" w:ascii="宋体" w:hAnsi="宋体"/>
                <w:sz w:val="18"/>
                <w:lang w:val="en-US" w:eastAsia="zh-CN"/>
              </w:rPr>
              <w:t>电力服务运行环境主要是：烟气处理、废水处理、噪声处理、粉尘处理、灰渣处理等。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80" w:lineRule="exact"/>
              <w:rPr>
                <w:rFonts w:hint="default" w:ascii="宋体" w:hAnsi="宋体" w:eastAsia="宋体"/>
                <w:sz w:val="18"/>
                <w:lang w:val="en-US" w:eastAsia="zh-CN"/>
              </w:rPr>
            </w:pPr>
            <w:r>
              <w:rPr>
                <w:rFonts w:hint="eastAsia" w:ascii="宋体" w:hAnsi="宋体"/>
                <w:b/>
                <w:color w:val="000000" w:themeColor="text1"/>
                <w:sz w:val="20"/>
                <w:szCs w:val="20"/>
              </w:rPr>
              <w:t>监视和测量资源</w:t>
            </w:r>
            <w:r>
              <w:rPr>
                <w:rFonts w:hint="eastAsia" w:ascii="宋体" w:hAnsi="宋体"/>
                <w:b/>
                <w:color w:val="000000" w:themeColor="text1"/>
                <w:sz w:val="20"/>
                <w:szCs w:val="20"/>
                <w:lang w:eastAsia="zh-CN"/>
              </w:rPr>
              <w:t>：</w:t>
            </w:r>
            <w:r>
              <w:rPr>
                <w:rFonts w:hint="eastAsia" w:ascii="宋体" w:hAnsi="宋体"/>
                <w:sz w:val="18"/>
                <w:lang w:val="en-US" w:eastAsia="zh-CN"/>
              </w:rPr>
              <w:t>有天平、干燥箱、马弗炉、钠表、PH表、硅表、台式电导率仪、在线电导率仪。经检查上述测量设备没有校检证据。（已经开具不符合项）</w:t>
            </w:r>
          </w:p>
          <w:p>
            <w:pPr>
              <w:spacing w:line="240" w:lineRule="exact"/>
              <w:rPr>
                <w:rFonts w:hint="eastAsia" w:ascii="宋体" w:hAnsi="宋体" w:eastAsia="宋体"/>
                <w:b/>
                <w:color w:val="000000" w:themeColor="text1"/>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知识</w:t>
            </w:r>
            <w:r>
              <w:rPr>
                <w:rFonts w:hint="eastAsia" w:ascii="宋体" w:hAnsi="宋体"/>
                <w:b/>
                <w:color w:val="000000" w:themeColor="text1"/>
                <w:sz w:val="20"/>
                <w:szCs w:val="20"/>
                <w:lang w:eastAsia="zh-CN"/>
              </w:rPr>
              <w:t>：</w:t>
            </w:r>
            <w:r>
              <w:rPr>
                <w:rFonts w:hint="eastAsia" w:ascii="宋体" w:hAnsi="宋体"/>
                <w:sz w:val="18"/>
                <w:lang w:val="en-US" w:eastAsia="zh-CN"/>
              </w:rPr>
              <w:t>主要的发电和输电的系统知识。</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环保设施：</w:t>
            </w:r>
            <w:r>
              <w:rPr>
                <w:rFonts w:hint="eastAsia" w:ascii="宋体" w:hAnsi="宋体"/>
                <w:sz w:val="18"/>
                <w:lang w:val="en-US" w:eastAsia="zh-CN"/>
              </w:rPr>
              <w:t>除硫设备、除硝设备、循环水净化设备、降噪声设备等。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职业健康安全设施：</w:t>
            </w:r>
            <w:r>
              <w:rPr>
                <w:rFonts w:hint="eastAsia" w:ascii="宋体" w:hAnsi="宋体"/>
                <w:sz w:val="18"/>
                <w:lang w:val="en-US" w:eastAsia="zh-CN"/>
              </w:rPr>
              <w:t>降噪声设备、除硫设备、除硝设备、循环水净化设备等。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240" w:lineRule="exact"/>
              <w:rPr>
                <w:rFonts w:hint="eastAsia" w:ascii="宋体" w:hAnsi="宋体" w:cs="Times New Roman"/>
                <w:sz w:val="18"/>
                <w:lang w:val="en-US" w:eastAsia="zh-CN"/>
              </w:rPr>
            </w:pPr>
            <w:r>
              <w:rPr>
                <w:rFonts w:hint="eastAsia"/>
                <w:b/>
                <w:color w:val="000000" w:themeColor="text1"/>
                <w:sz w:val="20"/>
                <w:szCs w:val="20"/>
              </w:rPr>
              <w:t>（包括针对组织宗旨，制定相关管理方针政策、确保方针为员工理解并在运营中实施，监视方针的实施并评审方针的适宜性）</w:t>
            </w:r>
            <w:r>
              <w:rPr>
                <w:rFonts w:hint="eastAsia" w:ascii="宋体" w:hAnsi="宋体" w:cs="Times New Roman"/>
                <w:sz w:val="18"/>
                <w:lang w:val="en-US" w:eastAsia="zh-CN"/>
              </w:rPr>
              <w:t>公司的质量、环境、职业健康安全方针是：</w:t>
            </w:r>
          </w:p>
          <w:p>
            <w:pPr>
              <w:spacing w:line="240" w:lineRule="exact"/>
              <w:rPr>
                <w:rFonts w:hint="eastAsia" w:ascii="宋体" w:hAnsi="宋体" w:cs="Times New Roman"/>
                <w:sz w:val="18"/>
                <w:lang w:val="en-US" w:eastAsia="zh-CN"/>
              </w:rPr>
            </w:pPr>
            <w:r>
              <w:rPr>
                <w:rFonts w:hint="eastAsia" w:ascii="宋体" w:hAnsi="宋体" w:cs="Times New Roman"/>
                <w:sz w:val="18"/>
                <w:lang w:val="en-US" w:eastAsia="zh-CN"/>
              </w:rPr>
              <w:t>关注顾客、全员参与、依法管理、预防为主、节能减排、降耗增效， 保员工健康、保生产安全、走可持续发展道路</w:t>
            </w:r>
          </w:p>
          <w:p>
            <w:pPr>
              <w:spacing w:line="240" w:lineRule="exact"/>
              <w:rPr>
                <w:rFonts w:hint="eastAsia" w:ascii="宋体" w:hAnsi="宋体" w:cs="Times New Roman"/>
                <w:sz w:val="18"/>
                <w:lang w:val="en-US" w:eastAsia="zh-CN"/>
              </w:rPr>
            </w:pPr>
            <w:r>
              <w:rPr>
                <w:rFonts w:hint="eastAsia" w:ascii="宋体" w:hAnsi="宋体" w:cs="Times New Roman"/>
                <w:sz w:val="18"/>
                <w:lang w:val="en-US" w:eastAsia="zh-CN"/>
              </w:rPr>
              <w:t>通过会议传达，沟通，让全体员工理解执行。并定期进行评审（一般一年一次）。</w:t>
            </w:r>
          </w:p>
          <w:p>
            <w:pPr>
              <w:spacing w:line="240" w:lineRule="exact"/>
              <w:rPr>
                <w:b/>
                <w:color w:val="000000" w:themeColor="text1"/>
                <w:sz w:val="20"/>
                <w:szCs w:val="20"/>
              </w:rPr>
            </w:pPr>
            <w:r>
              <w:rPr>
                <w:rFonts w:hint="eastAsia" w:ascii="宋体" w:hAnsi="宋体" w:cs="Times New Roman"/>
                <w:sz w:val="18"/>
                <w:lang w:val="en-US" w:eastAsia="zh-CN"/>
              </w:rPr>
              <w:t>管理评审对质量、环境、职业健康安全方针的适宜性作了评审，判定适宜，适合公司的发展需求。质量、环境和职业健康安全方针符合标准要求。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hint="default"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内部沟通的情况：内部沟通方式：</w:t>
            </w:r>
            <w:r>
              <w:rPr>
                <w:rFonts w:hint="eastAsia" w:ascii="宋体" w:hAnsi="宋体" w:cs="Times New Roman"/>
                <w:sz w:val="18"/>
                <w:lang w:val="en-US" w:eastAsia="zh-CN"/>
              </w:rPr>
              <w:t>会议、牌板、通知、微信等。</w:t>
            </w:r>
          </w:p>
          <w:p>
            <w:pPr>
              <w:spacing w:line="240" w:lineRule="exact"/>
              <w:rPr>
                <w:rFonts w:hint="eastAsia"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 xml:space="preserve">                内部沟通的效果：</w:t>
            </w:r>
            <w:r>
              <w:rPr>
                <w:rFonts w:hint="eastAsia" w:ascii="宋体" w:hAnsi="宋体" w:cs="Times New Roman"/>
                <w:sz w:val="18"/>
                <w:lang w:val="en-US" w:eastAsia="zh-CN"/>
              </w:rPr>
              <w:t>良好</w:t>
            </w:r>
          </w:p>
          <w:p>
            <w:pPr>
              <w:spacing w:line="240" w:lineRule="exact"/>
              <w:rPr>
                <w:rFonts w:ascii="楷体_GB2312" w:eastAsia="楷体_GB2312"/>
                <w:b/>
                <w:color w:val="000000" w:themeColor="text1"/>
                <w:sz w:val="20"/>
                <w:szCs w:val="20"/>
              </w:rPr>
            </w:pPr>
          </w:p>
          <w:p>
            <w:pPr>
              <w:spacing w:line="240" w:lineRule="exact"/>
              <w:rPr>
                <w:rFonts w:hint="eastAsia"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sz w:val="18"/>
                <w:lang w:val="en-US" w:eastAsia="zh-CN"/>
              </w:rPr>
              <w:t>良好。</w:t>
            </w:r>
          </w:p>
          <w:p>
            <w:pPr>
              <w:spacing w:line="240" w:lineRule="exact"/>
              <w:rPr>
                <w:rFonts w:ascii="楷体_GB2312" w:eastAsia="楷体_GB2312"/>
                <w:b/>
                <w:color w:val="000000" w:themeColor="text1"/>
                <w:sz w:val="20"/>
                <w:szCs w:val="20"/>
              </w:rPr>
            </w:pPr>
          </w:p>
          <w:p>
            <w:pPr>
              <w:spacing w:line="240" w:lineRule="exact"/>
              <w:rPr>
                <w:rFonts w:hint="eastAsia"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外部信息的接收、成文并答复的情况（E、S填写）：</w:t>
            </w:r>
            <w:r>
              <w:rPr>
                <w:rFonts w:hint="eastAsia" w:ascii="宋体" w:hAnsi="宋体" w:cs="Times New Roman"/>
                <w:sz w:val="18"/>
                <w:lang w:val="en-US" w:eastAsia="zh-CN"/>
              </w:rPr>
              <w:t>良好。</w:t>
            </w:r>
          </w:p>
          <w:p>
            <w:pPr>
              <w:spacing w:line="240" w:lineRule="exact"/>
              <w:rPr>
                <w:rFonts w:ascii="楷体_GB2312" w:eastAsia="楷体_GB2312"/>
                <w:b/>
                <w:color w:val="000000" w:themeColor="text1"/>
                <w:sz w:val="20"/>
                <w:szCs w:val="20"/>
              </w:rPr>
            </w:pPr>
          </w:p>
          <w:p>
            <w:pPr>
              <w:spacing w:line="240" w:lineRule="exact"/>
              <w:rPr>
                <w:rFonts w:hint="eastAsia"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重要环境因素信息对外交流情况（EMS填写）：</w:t>
            </w:r>
            <w:r>
              <w:rPr>
                <w:rFonts w:hint="eastAsia" w:ascii="宋体" w:hAnsi="宋体" w:cs="Times New Roman"/>
                <w:sz w:val="18"/>
                <w:lang w:val="en-US" w:eastAsia="zh-CN"/>
              </w:rPr>
              <w:t>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Times New Roman"/>
                <w:sz w:val="18"/>
                <w:lang w:val="en-US" w:eastAsia="zh-CN"/>
              </w:rPr>
              <w:t>良好</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宋体" w:hAnsi="宋体" w:cs="Times New Roman"/>
                <w:sz w:val="18"/>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80" w:lineRule="exact"/>
              <w:rPr>
                <w:rFonts w:hint="eastAsia" w:ascii="宋体" w:hAnsi="宋体"/>
                <w:sz w:val="18"/>
              </w:rPr>
            </w:pPr>
            <w:r>
              <w:rPr>
                <w:rFonts w:hint="eastAsia" w:ascii="宋体" w:hAnsi="宋体"/>
                <w:sz w:val="18"/>
              </w:rPr>
              <w:t>在火力发电的过程中，其质量控制结果由各岗位的作业人员负责进行自查，质量管控人员进行适宜地巡查，并保留适宜的巡查结果证据，符合要求就给予放行（转序），不符合要求就按8.7条款要求及时进行处理。</w:t>
            </w:r>
          </w:p>
          <w:p>
            <w:pPr>
              <w:spacing w:line="240" w:lineRule="exact"/>
              <w:rPr>
                <w:rFonts w:hint="default" w:eastAsia="宋体"/>
                <w:b/>
                <w:color w:val="000000" w:themeColor="text1"/>
                <w:sz w:val="20"/>
                <w:szCs w:val="20"/>
                <w:lang w:val="en-US" w:eastAsia="zh-CN"/>
              </w:rPr>
            </w:pPr>
            <w:r>
              <w:rPr>
                <w:rFonts w:hint="eastAsia" w:ascii="宋体" w:hAnsi="宋体"/>
                <w:sz w:val="18"/>
                <w:lang w:val="en-US" w:eastAsia="zh-CN"/>
              </w:rPr>
              <w:t>关键工序蒸汽轮机发电过程控制有效。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rFonts w:hint="default" w:eastAsia="宋体"/>
                <w:b w:val="0"/>
                <w:bCs/>
                <w:color w:val="000000" w:themeColor="text1"/>
                <w:sz w:val="20"/>
                <w:szCs w:val="20"/>
                <w:lang w:val="en-US" w:eastAsia="zh-CN"/>
              </w:rPr>
            </w:pPr>
            <w:r>
              <w:rPr>
                <w:rFonts w:hint="eastAsia"/>
                <w:b w:val="0"/>
                <w:bCs/>
                <w:color w:val="000000" w:themeColor="text1"/>
                <w:sz w:val="20"/>
                <w:szCs w:val="20"/>
                <w:lang w:val="en-US" w:eastAsia="zh-CN"/>
              </w:rPr>
              <w:t>电力产品的质量符合标准、、协议/规范的要求，能够稳定地提供合格的电力产品。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default" w:eastAsia="宋体"/>
                <w:b/>
                <w:color w:val="000000" w:themeColor="text1"/>
                <w:spacing w:val="-8"/>
                <w:sz w:val="20"/>
                <w:szCs w:val="20"/>
                <w:lang w:val="en-US" w:eastAsia="zh-CN"/>
              </w:rPr>
            </w:pPr>
            <w:r>
              <w:rPr>
                <w:rFonts w:hint="eastAsia"/>
                <w:b/>
                <w:color w:val="000000" w:themeColor="text1"/>
                <w:sz w:val="20"/>
                <w:szCs w:val="20"/>
              </w:rPr>
              <w:t xml:space="preserve">6. </w:t>
            </w:r>
            <w:r>
              <w:rPr>
                <w:rFonts w:hint="eastAsia"/>
                <w:b/>
                <w:color w:val="000000" w:themeColor="text1"/>
                <w:spacing w:val="-8"/>
                <w:sz w:val="20"/>
                <w:szCs w:val="20"/>
              </w:rPr>
              <w:t>不合格品/项的识别、</w:t>
            </w:r>
            <w:r>
              <w:rPr>
                <w:rFonts w:hint="eastAsia"/>
                <w:b w:val="0"/>
                <w:bCs/>
                <w:color w:val="000000" w:themeColor="text1"/>
                <w:spacing w:val="-8"/>
                <w:sz w:val="20"/>
                <w:szCs w:val="20"/>
              </w:rPr>
              <w:t>控制;</w:t>
            </w:r>
            <w:r>
              <w:rPr>
                <w:rFonts w:hint="eastAsia"/>
                <w:b w:val="0"/>
                <w:bCs/>
                <w:color w:val="000000" w:themeColor="text1"/>
                <w:spacing w:val="-8"/>
                <w:sz w:val="20"/>
                <w:szCs w:val="20"/>
                <w:lang w:val="en-US" w:eastAsia="zh-CN"/>
              </w:rPr>
              <w:t>因该公司生产的电力产品，直接上网。不存在不合格产品。</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ascii="Times New Roman" w:hAnsi="Times New Roman" w:cs="Times New Roman"/>
                <w:b/>
                <w:color w:val="000000" w:themeColor="text1"/>
                <w:sz w:val="20"/>
                <w:szCs w:val="20"/>
              </w:rPr>
            </w:pPr>
            <w:r>
              <w:rPr>
                <w:rFonts w:hint="eastAsia" w:ascii="Times New Roman" w:hAnsi="Times New Roman" w:cs="Times New Roman"/>
                <w:b/>
                <w:color w:val="000000" w:themeColor="text1"/>
                <w:sz w:val="20"/>
                <w:szCs w:val="20"/>
              </w:rPr>
              <w:t>7. EMS组织对重要环境因素实施控制的结果</w:t>
            </w:r>
          </w:p>
          <w:p>
            <w:pPr>
              <w:spacing w:line="240" w:lineRule="exact"/>
            </w:pPr>
            <w:r>
              <w:rPr>
                <w:rFonts w:hint="eastAsia"/>
              </w:rPr>
              <w:t>（EMS对重要环境因素控制，重大环境因素对周边环境产生的影响及控制;对相关方施加影响）</w:t>
            </w:r>
          </w:p>
          <w:p>
            <w:pPr>
              <w:spacing w:line="240" w:lineRule="exact"/>
              <w:rPr>
                <w:rFonts w:hint="eastAsia"/>
                <w:lang w:val="en-US" w:eastAsia="zh-CN"/>
              </w:rPr>
            </w:pPr>
            <w:r>
              <w:rPr>
                <w:rFonts w:hint="eastAsia"/>
                <w:lang w:val="en-US" w:eastAsia="zh-CN"/>
              </w:rPr>
              <w:t>企业利用除硫除硝的烟气净化系统，使煤气达标排放；</w:t>
            </w:r>
          </w:p>
          <w:p>
            <w:pPr>
              <w:spacing w:line="240" w:lineRule="exact"/>
              <w:rPr>
                <w:rFonts w:hint="eastAsia" w:ascii="宋体" w:hAnsi="宋体" w:cs="Times New Roman"/>
                <w:sz w:val="18"/>
                <w:lang w:val="en-US" w:eastAsia="zh-CN"/>
              </w:rPr>
            </w:pPr>
            <w:r>
              <w:rPr>
                <w:rFonts w:hint="eastAsia" w:ascii="宋体" w:hAnsi="宋体" w:cs="Times New Roman"/>
                <w:sz w:val="18"/>
                <w:lang w:val="en-US" w:eastAsia="zh-CN"/>
              </w:rPr>
              <w:t>使用循环水净化系统使水达标后外排；有储煤场大棚进行封闭管理，使粉尘得到有效的控制，对噪声进行降噪处理和隔音处理，大大地降低了噪声；将炉渣卖给水泥厂，杜绝了炉渣的污染；</w:t>
            </w:r>
          </w:p>
          <w:p>
            <w:pPr>
              <w:spacing w:line="240" w:lineRule="exact"/>
              <w:rPr>
                <w:rFonts w:hint="default"/>
                <w:b/>
                <w:color w:val="000000" w:themeColor="text1"/>
                <w:sz w:val="20"/>
                <w:szCs w:val="20"/>
                <w:lang w:val="en-US" w:eastAsia="zh-CN"/>
              </w:rPr>
            </w:pPr>
            <w:r>
              <w:rPr>
                <w:rFonts w:hint="eastAsia" w:ascii="宋体" w:hAnsi="宋体" w:cs="Times New Roman"/>
                <w:sz w:val="18"/>
                <w:lang w:val="en-US" w:eastAsia="zh-CN"/>
              </w:rPr>
              <w:t>总之，企业对重要环境因素的治理有效。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8. OHSMS组织对不可接受风险实施控制的结果</w:t>
            </w:r>
            <w:r>
              <w:rPr>
                <w:rFonts w:hint="eastAsia"/>
                <w:b/>
                <w:color w:val="000000" w:themeColor="text1"/>
                <w:sz w:val="20"/>
                <w:szCs w:val="20"/>
                <w:lang w:eastAsia="zh-CN"/>
              </w:rPr>
              <w:t>：</w:t>
            </w:r>
            <w:r>
              <w:rPr>
                <w:rFonts w:hint="eastAsia" w:ascii="宋体" w:hAnsi="宋体" w:cs="Times New Roman"/>
                <w:sz w:val="18"/>
                <w:lang w:val="en-US" w:eastAsia="zh-CN"/>
              </w:rPr>
              <w:t>按照《建设项目职业病防护设施“三同时”监督管理办法》（原安监局令第90号）第六条“国家根据项目可能产生职业病危害的风险程度，按照相关规定对其实行分类监督管理”的要求，根据《用人单位职业病危害状况评价导则》中职业危害综合评分计算方法对该公司职业健康基础建设情况、职业病危害因素接触情况、用人单位职业健康监护情况进行计算，该公司得分为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pStyle w:val="6"/>
              <w:ind w:left="216"/>
              <w:rPr>
                <w:rFonts w:hint="eastAsia" w:ascii="宋体" w:hAnsi="宋体" w:eastAsia="宋体" w:cs="Times New Roman"/>
                <w:smallCaps w:val="0"/>
                <w:kern w:val="2"/>
                <w:sz w:val="18"/>
                <w:szCs w:val="24"/>
                <w:lang w:val="en-US" w:eastAsia="zh-CN" w:bidi="ar-SA"/>
              </w:rPr>
            </w:pPr>
            <w:r>
              <w:rPr>
                <w:rFonts w:hint="eastAsia"/>
                <w:b/>
                <w:color w:val="000000" w:themeColor="text1"/>
                <w:spacing w:val="-4"/>
                <w:sz w:val="20"/>
                <w:szCs w:val="20"/>
                <w:lang w:val="en-US" w:eastAsia="zh-CN"/>
              </w:rPr>
              <w:t xml:space="preserve">  </w:t>
            </w:r>
            <w:r>
              <w:rPr>
                <w:rFonts w:hint="eastAsia" w:ascii="宋体" w:hAnsi="宋体" w:eastAsia="宋体" w:cs="Times New Roman"/>
                <w:smallCaps w:val="0"/>
                <w:kern w:val="2"/>
                <w:sz w:val="18"/>
                <w:szCs w:val="24"/>
                <w:lang w:val="en-US" w:eastAsia="zh-CN" w:bidi="ar-SA"/>
              </w:rPr>
              <w:t>企业制定了一、全厂停电应应急预案、二、滁州滁能热电有限公司孤网运行预案 、</w:t>
            </w:r>
          </w:p>
          <w:p>
            <w:pPr>
              <w:ind w:firstLine="180" w:firstLineChars="100"/>
              <w:jc w:val="left"/>
              <w:rPr>
                <w:rFonts w:hint="default" w:eastAsia="宋体"/>
                <w:b/>
                <w:color w:val="000000" w:themeColor="text1"/>
                <w:spacing w:val="-4"/>
                <w:sz w:val="20"/>
                <w:szCs w:val="20"/>
                <w:lang w:val="en-US" w:eastAsia="zh-CN"/>
              </w:rPr>
            </w:pPr>
            <w:r>
              <w:rPr>
                <w:rFonts w:hint="eastAsia" w:ascii="宋体" w:hAnsi="宋体" w:eastAsia="宋体" w:cs="Times New Roman"/>
                <w:smallCaps w:val="0"/>
                <w:kern w:val="2"/>
                <w:sz w:val="18"/>
                <w:szCs w:val="24"/>
                <w:lang w:val="en-US" w:eastAsia="zh-CN" w:bidi="ar-SA"/>
              </w:rPr>
              <w:t>三、系统电压波动导致设备异常操作预案、四、滁州滁能热电有限公司孤网运行预案、五、给水泵单泵运行期间操作注意事项及应急处理措施、六、关于应对煤潮的预案、七、市政自来水降压供水应急预、八、主控室紧急疏散、九、关于锅炉缺煤的应急处理预案、十、厂用气源压力低的应急处理预案、十一、电缆着火处理预案、十二、 二炉一机运行时一台炉故障停运的应急操作预案、十三、有限空间作业事故应急预案、十四、清理煤仓安全管理规定、十五、滁州滁能热电有限公司盐酸泄漏应急处理措施</w:t>
            </w:r>
            <w:r>
              <w:rPr>
                <w:rFonts w:hint="eastAsia" w:ascii="宋体" w:hAnsi="宋体" w:cs="Times New Roman"/>
                <w:smallCaps w:val="0"/>
                <w:kern w:val="2"/>
                <w:sz w:val="18"/>
                <w:szCs w:val="24"/>
                <w:lang w:val="en-US" w:eastAsia="zh-CN" w:bidi="ar-SA"/>
              </w:rPr>
              <w:t>。共15个应急预案，但没有提供出演练的证据。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r>
              <w:rPr>
                <w:rFonts w:hint="eastAsia" w:ascii="宋体" w:hAnsi="宋体" w:eastAsia="宋体" w:cs="Times New Roman"/>
                <w:smallCaps w:val="0"/>
                <w:kern w:val="2"/>
                <w:sz w:val="18"/>
                <w:szCs w:val="24"/>
                <w:lang w:val="en-US" w:eastAsia="zh-CN" w:bidi="ar-SA"/>
              </w:rPr>
              <w:t>公司特种有：行车2台、空压机1台。有设备管理制度和维修记录。并提供行车和空压机的检定报告。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11 .对危险化学品销售、使用、储存、运输处置，规定的执行力度(必要时);</w:t>
            </w:r>
            <w:r>
              <w:rPr>
                <w:rFonts w:hint="eastAsia" w:ascii="宋体" w:hAnsi="宋体" w:cs="Times New Roman"/>
                <w:smallCaps w:val="0"/>
                <w:kern w:val="2"/>
                <w:sz w:val="18"/>
                <w:szCs w:val="24"/>
                <w:lang w:val="en-US" w:eastAsia="zh-CN" w:bidi="ar-SA"/>
              </w:rPr>
              <w:t>在生产中使用的危化品有盐酸、片碱。经现场检查，有固定独立的存放地点并加围栏，有《危化品管理制度》和《危化品使用管理方法》，使用后将酸碱放在一起进行中和反应。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90" w:firstLineChars="50"/>
              <w:rPr>
                <w:rFonts w:hint="default" w:eastAsia="宋体"/>
                <w:b/>
                <w:color w:val="000000" w:themeColor="text1"/>
                <w:sz w:val="20"/>
                <w:szCs w:val="20"/>
                <w:lang w:val="en-US" w:eastAsia="zh-CN"/>
              </w:rPr>
            </w:pPr>
            <w:r>
              <w:rPr>
                <w:rFonts w:hint="eastAsia" w:ascii="宋体" w:hAnsi="宋体" w:cs="Times New Roman"/>
                <w:smallCaps w:val="0"/>
                <w:kern w:val="2"/>
                <w:sz w:val="18"/>
                <w:szCs w:val="24"/>
                <w:lang w:val="en-US" w:eastAsia="zh-CN" w:bidi="ar-SA"/>
              </w:rPr>
              <w:t>公司每年对质量/环境/职业健康安全目标指标进行定期检测和测量，目标完成较好。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color w:val="auto"/>
                <w:sz w:val="21"/>
                <w:szCs w:val="21"/>
              </w:rPr>
            </w:pPr>
            <w:r>
              <w:rPr>
                <w:rFonts w:hint="eastAsia"/>
                <w:b/>
                <w:color w:val="000000" w:themeColor="text1"/>
                <w:sz w:val="20"/>
                <w:szCs w:val="20"/>
              </w:rPr>
              <w:t>2.顾客满意</w:t>
            </w:r>
            <w:r>
              <w:rPr>
                <w:rFonts w:hint="eastAsia"/>
                <w:b/>
                <w:color w:val="000000" w:themeColor="text1"/>
                <w:sz w:val="20"/>
                <w:szCs w:val="20"/>
                <w:lang w:eastAsia="zh-CN"/>
              </w:rPr>
              <w:t>：</w:t>
            </w:r>
            <w:r>
              <w:rPr>
                <w:rFonts w:hint="eastAsia"/>
                <w:color w:val="auto"/>
                <w:sz w:val="21"/>
                <w:szCs w:val="21"/>
              </w:rPr>
              <w:t>公司已建立和保持了《</w:t>
            </w:r>
            <w:r>
              <w:rPr>
                <w:rFonts w:hint="eastAsia" w:hAnsi="宋体"/>
                <w:snapToGrid w:val="0"/>
                <w:color w:val="auto"/>
                <w:kern w:val="0"/>
                <w:sz w:val="21"/>
              </w:rPr>
              <w:t>相关方满意测量程序</w:t>
            </w:r>
            <w:r>
              <w:rPr>
                <w:rFonts w:hint="eastAsia"/>
                <w:color w:val="auto"/>
                <w:sz w:val="21"/>
                <w:szCs w:val="21"/>
              </w:rPr>
              <w:t>》，对顾客满意的监测的相关内容进行了规定，其包括了对调查方式、渠道、内容、频率等。</w:t>
            </w:r>
          </w:p>
          <w:p>
            <w:pPr>
              <w:spacing w:line="240" w:lineRule="exact"/>
              <w:ind w:left="100" w:hanging="105" w:hangingChars="50"/>
              <w:rPr>
                <w:rFonts w:hint="eastAsia" w:eastAsia="宋体"/>
                <w:b/>
                <w:color w:val="000000" w:themeColor="text1"/>
                <w:sz w:val="20"/>
                <w:szCs w:val="20"/>
                <w:lang w:eastAsia="zh-CN"/>
              </w:rPr>
            </w:pPr>
            <w:r>
              <w:rPr>
                <w:rFonts w:hint="eastAsia"/>
                <w:color w:val="auto"/>
                <w:sz w:val="21"/>
                <w:szCs w:val="21"/>
                <w:lang w:val="en-US" w:eastAsia="zh-CN"/>
              </w:rPr>
              <w:t>因企业为热能发电，产生的电能直接入国家电网，企业上级单位为供电局，由供电局统一调度，体系运行以来完全配合供电局调度</w:t>
            </w:r>
            <w:r>
              <w:rPr>
                <w:rFonts w:hint="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pPr>
            <w:r>
              <w:rPr>
                <w:rFonts w:hint="eastAsia"/>
              </w:rPr>
              <w:t>3. 内审（包括内审策划审核方案中考虑拟审核的过程和区域的状况和重要性）</w:t>
            </w:r>
          </w:p>
          <w:p>
            <w:pPr>
              <w:spacing w:line="240" w:lineRule="exact"/>
            </w:pPr>
          </w:p>
          <w:p>
            <w:pPr>
              <w:spacing w:line="240" w:lineRule="exact"/>
              <w:rPr>
                <w:rFonts w:hint="eastAsia"/>
                <w:lang w:val="en-US" w:eastAsia="zh-CN"/>
              </w:rPr>
            </w:pPr>
            <w:r>
              <w:rPr>
                <w:rFonts w:hint="eastAsia"/>
              </w:rPr>
              <w:t>于</w:t>
            </w:r>
            <w:r>
              <w:rPr>
                <w:rFonts w:hint="eastAsia"/>
                <w:lang w:eastAsia="zh-CN"/>
              </w:rPr>
              <w:t>2020</w:t>
            </w:r>
            <w:r>
              <w:rPr>
                <w:rFonts w:hint="eastAsia"/>
              </w:rPr>
              <w:t>/</w:t>
            </w:r>
            <w:r>
              <w:rPr>
                <w:rFonts w:hint="eastAsia"/>
                <w:lang w:val="en-US" w:eastAsia="zh-CN"/>
              </w:rPr>
              <w:t>12</w:t>
            </w:r>
            <w:r>
              <w:rPr>
                <w:rFonts w:hint="eastAsia"/>
              </w:rPr>
              <w:t>/</w:t>
            </w:r>
            <w:r>
              <w:rPr>
                <w:rFonts w:hint="eastAsia"/>
                <w:lang w:val="en-US" w:eastAsia="zh-CN"/>
              </w:rPr>
              <w:t>16-17</w:t>
            </w:r>
            <w:r>
              <w:rPr>
                <w:rFonts w:hint="eastAsia"/>
              </w:rPr>
              <w:t>开展内部审核，通知规定了内审的目的、依据、审核的主要内容、审核要求、审核组成员及审核时间安排等</w:t>
            </w:r>
            <w:r>
              <w:rPr>
                <w:rFonts w:hint="eastAsia"/>
                <w:lang w:eastAsia="zh-CN"/>
              </w:rPr>
              <w:t>，</w:t>
            </w:r>
            <w:r>
              <w:rPr>
                <w:rFonts w:hint="eastAsia"/>
              </w:rPr>
              <w:t>审核中共发现</w:t>
            </w:r>
            <w:r>
              <w:rPr>
                <w:rFonts w:hint="eastAsia"/>
                <w:lang w:val="en-US" w:eastAsia="zh-CN"/>
              </w:rPr>
              <w:t>2</w:t>
            </w:r>
            <w:r>
              <w:rPr>
                <w:rFonts w:hint="eastAsia"/>
              </w:rPr>
              <w:t>项一般不符合项，</w:t>
            </w:r>
            <w:r>
              <w:rPr>
                <w:rFonts w:hint="eastAsia"/>
                <w:lang w:val="en-US" w:eastAsia="zh-CN"/>
              </w:rPr>
              <w:t>有不符合项的整改证据。</w:t>
            </w:r>
          </w:p>
          <w:p>
            <w:pPr>
              <w:pStyle w:val="2"/>
              <w:ind w:left="0" w:leftChars="0" w:firstLine="0" w:firstLineChars="0"/>
              <w:rPr>
                <w:rFonts w:hint="default"/>
                <w:lang w:val="en-US" w:eastAsia="zh-CN"/>
              </w:rPr>
            </w:pPr>
            <w:r>
              <w:rPr>
                <w:rFonts w:hint="eastAsia" w:asciiTheme="minorEastAsia" w:hAnsiTheme="minorEastAsia" w:eastAsiaTheme="minorEastAsia" w:cstheme="minorEastAsia"/>
                <w:sz w:val="21"/>
                <w:szCs w:val="21"/>
              </w:rPr>
              <w:t>审核结论，对管理体系的改进建议。结论：公司的管理体系符合标准要求，体系运行有效。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1"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lang w:val="en-US" w:eastAsia="zh-CN"/>
              </w:rPr>
              <w:t>公司于</w:t>
            </w:r>
            <w:r>
              <w:rPr>
                <w:rFonts w:hint="eastAsia" w:asciiTheme="minorEastAsia" w:hAnsiTheme="minorEastAsia" w:eastAsiaTheme="minorEastAsia" w:cstheme="minorEastAsia"/>
                <w:szCs w:val="24"/>
                <w:lang w:eastAsia="zh-CN"/>
              </w:rPr>
              <w:t>20</w:t>
            </w:r>
            <w:r>
              <w:rPr>
                <w:rFonts w:hint="eastAsia" w:asciiTheme="minorEastAsia" w:hAnsiTheme="minorEastAsia" w:eastAsiaTheme="minorEastAsia" w:cstheme="minorEastAsia"/>
                <w:szCs w:val="24"/>
                <w:lang w:val="en-US" w:eastAsia="zh-CN"/>
              </w:rPr>
              <w:t>20-12-21</w:t>
            </w:r>
            <w:r>
              <w:rPr>
                <w:rFonts w:hint="eastAsia" w:asciiTheme="minorEastAsia" w:hAnsiTheme="minorEastAsia" w:eastAsiaTheme="minorEastAsia" w:cstheme="minorEastAsia"/>
                <w:szCs w:val="24"/>
              </w:rPr>
              <w:t>进行了管理评审。查看 “管理评审计划”，由</w:t>
            </w:r>
            <w:r>
              <w:rPr>
                <w:rFonts w:hint="eastAsia" w:asciiTheme="minorEastAsia" w:hAnsiTheme="minorEastAsia" w:eastAsiaTheme="minorEastAsia" w:cstheme="minorEastAsia"/>
                <w:szCs w:val="24"/>
                <w:lang w:val="en-US" w:eastAsia="zh-CN"/>
              </w:rPr>
              <w:t>管理者代表</w:t>
            </w:r>
            <w:r>
              <w:rPr>
                <w:rFonts w:hint="eastAsia" w:asciiTheme="minorEastAsia" w:hAnsiTheme="minorEastAsia" w:eastAsiaTheme="minorEastAsia" w:cstheme="minorEastAsia"/>
                <w:szCs w:val="24"/>
                <w:lang w:eastAsia="zh-CN"/>
              </w:rPr>
              <w:t>张国龙</w:t>
            </w:r>
            <w:r>
              <w:rPr>
                <w:rFonts w:hint="eastAsia" w:asciiTheme="minorEastAsia" w:hAnsiTheme="minorEastAsia" w:eastAsiaTheme="minorEastAsia" w:cstheme="minorEastAsia"/>
                <w:szCs w:val="24"/>
              </w:rPr>
              <w:t>签发；内容包括；评审目的、评审时间、参加部门人员、评审输入内容等。</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管理评审输入:包括组织的战略方向、与</w:t>
            </w:r>
            <w:r>
              <w:rPr>
                <w:rFonts w:hint="eastAsia" w:asciiTheme="minorEastAsia" w:hAnsiTheme="minorEastAsia" w:eastAsiaTheme="minorEastAsia" w:cstheme="minorEastAsia"/>
                <w:szCs w:val="24"/>
                <w:lang w:eastAsia="zh-CN"/>
              </w:rPr>
              <w:t>质量、环境、职业健康安全管理体系</w:t>
            </w:r>
            <w:r>
              <w:rPr>
                <w:rFonts w:hint="eastAsia" w:asciiTheme="minorEastAsia" w:hAnsiTheme="minorEastAsia" w:eastAsiaTheme="minorEastAsia" w:cstheme="minorEastAsia"/>
                <w:szCs w:val="24"/>
              </w:rPr>
              <w:t>相关的内外部因素的变化，顾客满意和相关方的反馈，目标的实现情况，监视和测量结果，内部审核结果，外部供方的绩效，资源的充分性，应对风险和机遇所采取的措施，重要环境因素，</w:t>
            </w:r>
            <w:r>
              <w:rPr>
                <w:rFonts w:hint="eastAsia" w:asciiTheme="minorEastAsia" w:hAnsiTheme="minorEastAsia" w:eastAsiaTheme="minorEastAsia" w:cstheme="minorEastAsia"/>
                <w:szCs w:val="24"/>
                <w:lang w:eastAsia="zh-CN"/>
              </w:rPr>
              <w:t>重大危险源</w:t>
            </w:r>
            <w:r>
              <w:rPr>
                <w:rFonts w:hint="eastAsia" w:asciiTheme="minorEastAsia" w:hAnsiTheme="minorEastAsia" w:eastAsiaTheme="minorEastAsia" w:cstheme="minorEastAsia"/>
                <w:szCs w:val="24"/>
              </w:rPr>
              <w:t>，合规义务履行情况，事件调查、纠正和预防措施，改进的机会等。管理评审的输入基本充分。查到各部门汇报</w:t>
            </w:r>
            <w:r>
              <w:rPr>
                <w:rFonts w:hint="eastAsia" w:asciiTheme="minorEastAsia" w:hAnsiTheme="minorEastAsia" w:eastAsiaTheme="minorEastAsia" w:cstheme="minorEastAsia"/>
                <w:szCs w:val="24"/>
                <w:lang w:val="en-US" w:eastAsia="zh-CN"/>
              </w:rPr>
              <w:t>输入</w:t>
            </w:r>
            <w:r>
              <w:rPr>
                <w:rFonts w:hint="eastAsia" w:asciiTheme="minorEastAsia" w:hAnsiTheme="minorEastAsia" w:eastAsiaTheme="minorEastAsia" w:cstheme="minorEastAsia"/>
                <w:szCs w:val="24"/>
              </w:rPr>
              <w:t>材料，有参加人员签到表。</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管理评审输出：</w:t>
            </w:r>
          </w:p>
          <w:p>
            <w:pPr>
              <w:spacing w:line="360" w:lineRule="auto"/>
              <w:ind w:firstLine="42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查看了</w:t>
            </w:r>
            <w:r>
              <w:rPr>
                <w:rFonts w:hint="eastAsia" w:asciiTheme="minorEastAsia" w:hAnsiTheme="minorEastAsia" w:eastAsiaTheme="minorEastAsia" w:cstheme="minorEastAsia"/>
                <w:szCs w:val="24"/>
                <w:lang w:eastAsia="zh-CN"/>
              </w:rPr>
              <w:t>管理者代表张国龙</w:t>
            </w:r>
            <w:r>
              <w:rPr>
                <w:rFonts w:hint="eastAsia" w:asciiTheme="minorEastAsia" w:hAnsiTheme="minorEastAsia" w:eastAsiaTheme="minorEastAsia" w:cstheme="minorEastAsia"/>
                <w:szCs w:val="24"/>
              </w:rPr>
              <w:t>批准的“管理评审报告”，对公司体系文件的符合性，国家、地方及行业相关法规、标准的执行情况，风险和机遇的应对情况，产品质量情况</w:t>
            </w:r>
            <w:r>
              <w:rPr>
                <w:rFonts w:hint="eastAsia" w:asciiTheme="minorEastAsia" w:hAnsiTheme="minorEastAsia" w:eastAsiaTheme="minorEastAsia" w:cstheme="minorEastAsia"/>
                <w:szCs w:val="24"/>
                <w:lang w:eastAsia="zh-CN"/>
              </w:rPr>
              <w:t>，</w:t>
            </w:r>
            <w:r>
              <w:rPr>
                <w:rFonts w:hint="eastAsia" w:asciiTheme="minorEastAsia" w:hAnsiTheme="minorEastAsia" w:eastAsiaTheme="minorEastAsia" w:cstheme="minorEastAsia"/>
                <w:szCs w:val="24"/>
                <w:lang w:val="en-US" w:eastAsia="zh-CN"/>
              </w:rPr>
              <w:t>环境和职业健康管理体系运行情况，重要环境因素便哈，不可接受危险源变化</w:t>
            </w:r>
            <w:r>
              <w:rPr>
                <w:rFonts w:hint="eastAsia" w:asciiTheme="minorEastAsia" w:hAnsiTheme="minorEastAsia" w:eastAsiaTheme="minorEastAsia" w:cstheme="minorEastAsia"/>
                <w:szCs w:val="24"/>
              </w:rPr>
              <w:t>，内审实施情况、相关方投诉情况、管理目标完成情况、管理体系的适宜性、有效性、充分性做出了评价。评审结论：公司的管理体系是适宜、充分和有效的，达到了顾客满意和持续改进的目的。</w:t>
            </w:r>
          </w:p>
          <w:p>
            <w:pPr>
              <w:spacing w:line="240" w:lineRule="exact"/>
              <w:rPr>
                <w:rFonts w:hint="default" w:eastAsia="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5.  EMS是否按规定对主要污染物（污水、废气、噪声、废渣等）及排放实施了例行的监视或测量，结</w:t>
            </w:r>
            <w:r>
              <w:rPr>
                <w:rFonts w:hint="eastAsia"/>
                <w:b w:val="0"/>
                <w:bCs/>
                <w:color w:val="000000" w:themeColor="text1"/>
                <w:sz w:val="20"/>
                <w:szCs w:val="20"/>
              </w:rPr>
              <w:t>果是否满足相关要求？</w:t>
            </w:r>
            <w:r>
              <w:rPr>
                <w:rFonts w:hint="eastAsia"/>
                <w:b w:val="0"/>
                <w:bCs/>
                <w:color w:val="000000" w:themeColor="text1"/>
                <w:sz w:val="20"/>
                <w:szCs w:val="20"/>
                <w:lang w:val="en-US" w:eastAsia="zh-CN"/>
              </w:rPr>
              <w:t>企业按规定对主要污染物（污水、废气、噪声、废渣、烟尘）及排放实施了例行的监视或测量，结果满足相关要求。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default" w:eastAsia="宋体"/>
                <w:b/>
                <w:color w:val="000000" w:themeColor="text1"/>
                <w:sz w:val="20"/>
                <w:szCs w:val="20"/>
                <w:lang w:val="en-US" w:eastAsia="zh-CN"/>
              </w:rPr>
            </w:pPr>
            <w:r>
              <w:rPr>
                <w:rFonts w:hint="eastAsia"/>
                <w:b w:val="0"/>
                <w:bCs/>
                <w:color w:val="000000" w:themeColor="text1"/>
                <w:sz w:val="20"/>
                <w:szCs w:val="20"/>
              </w:rPr>
              <w:t>国家/地方环保部门监测结果、新改扩建项目符合环评报告、三同时验收报告要求情况及措施</w:t>
            </w:r>
            <w:r>
              <w:rPr>
                <w:rFonts w:hint="eastAsia"/>
                <w:b w:val="0"/>
                <w:bCs/>
                <w:color w:val="000000" w:themeColor="text1"/>
                <w:sz w:val="20"/>
                <w:szCs w:val="20"/>
                <w:lang w:val="en-US" w:eastAsia="zh-CN"/>
              </w:rPr>
              <w:t>满足要求，具体见附件。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rFonts w:hint="eastAsia" w:eastAsia="宋体"/>
                <w:b/>
                <w:color w:val="000000" w:themeColor="text1"/>
                <w:sz w:val="20"/>
                <w:szCs w:val="20"/>
                <w:lang w:val="en-US" w:eastAsia="zh-CN"/>
              </w:rPr>
            </w:pPr>
            <w:r>
              <w:rPr>
                <w:rFonts w:hint="eastAsia"/>
                <w:b w:val="0"/>
                <w:bCs/>
                <w:color w:val="000000" w:themeColor="text1"/>
                <w:sz w:val="20"/>
                <w:szCs w:val="20"/>
                <w:lang w:val="en-US" w:eastAsia="zh-CN"/>
              </w:rPr>
              <w:t>企业</w:t>
            </w:r>
            <w:r>
              <w:rPr>
                <w:rFonts w:hint="eastAsia"/>
                <w:b w:val="0"/>
                <w:bCs/>
                <w:color w:val="000000" w:themeColor="text1"/>
                <w:sz w:val="20"/>
                <w:szCs w:val="20"/>
              </w:rPr>
              <w:t>按规定对职业健康安全项目</w:t>
            </w:r>
            <w:r>
              <w:rPr>
                <w:rFonts w:hint="eastAsia"/>
                <w:b w:val="0"/>
                <w:bCs/>
                <w:color w:val="000000" w:themeColor="text1"/>
                <w:sz w:val="20"/>
                <w:szCs w:val="20"/>
                <w:lang w:eastAsia="zh-CN"/>
              </w:rPr>
              <w:t>（</w:t>
            </w:r>
            <w:r>
              <w:rPr>
                <w:rFonts w:hint="eastAsia"/>
                <w:b w:val="0"/>
                <w:bCs/>
                <w:color w:val="000000" w:themeColor="text1"/>
                <w:sz w:val="20"/>
                <w:szCs w:val="20"/>
                <w:lang w:val="en-US" w:eastAsia="zh-CN"/>
              </w:rPr>
              <w:t>生产场所职业健康安全因素和涉及的人员</w:t>
            </w:r>
            <w:r>
              <w:rPr>
                <w:rFonts w:hint="eastAsia"/>
                <w:b w:val="0"/>
                <w:bCs/>
                <w:color w:val="000000" w:themeColor="text1"/>
                <w:sz w:val="20"/>
                <w:szCs w:val="20"/>
                <w:lang w:eastAsia="zh-CN"/>
              </w:rPr>
              <w:t>）</w:t>
            </w:r>
            <w:r>
              <w:rPr>
                <w:rFonts w:hint="eastAsia"/>
                <w:b w:val="0"/>
                <w:bCs/>
                <w:color w:val="000000" w:themeColor="text1"/>
                <w:sz w:val="20"/>
                <w:szCs w:val="20"/>
              </w:rPr>
              <w:t>进行定期测量，结果满足相关要求：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3"/>
              </w:numPr>
              <w:spacing w:line="240" w:lineRule="exact"/>
              <w:rPr>
                <w:rFonts w:hint="eastAsia"/>
                <w:b/>
                <w:color w:val="000000" w:themeColor="text1"/>
                <w:sz w:val="20"/>
                <w:szCs w:val="20"/>
                <w:lang w:eastAsia="zh-CN"/>
              </w:rPr>
            </w:pPr>
            <w:r>
              <w:rPr>
                <w:rFonts w:hint="eastAsia"/>
                <w:b/>
                <w:color w:val="000000" w:themeColor="text1"/>
                <w:sz w:val="20"/>
                <w:szCs w:val="20"/>
              </w:rPr>
              <w:t>OHSMS国家/地方职业健康安全部门监督检查情况及措施</w:t>
            </w:r>
            <w:r>
              <w:rPr>
                <w:rFonts w:hint="eastAsia"/>
                <w:b/>
                <w:color w:val="000000" w:themeColor="text1"/>
                <w:sz w:val="20"/>
                <w:szCs w:val="20"/>
                <w:lang w:eastAsia="zh-CN"/>
              </w:rPr>
              <w:t>。</w:t>
            </w:r>
          </w:p>
          <w:p>
            <w:pPr>
              <w:pStyle w:val="2"/>
              <w:numPr>
                <w:ilvl w:val="0"/>
                <w:numId w:val="0"/>
              </w:numPr>
              <w:rPr>
                <w:rFonts w:hint="default"/>
                <w:lang w:val="en-US" w:eastAsia="zh-CN"/>
              </w:rPr>
            </w:pPr>
            <w:r>
              <w:rPr>
                <w:rFonts w:hint="eastAsia"/>
                <w:lang w:val="en-US" w:eastAsia="zh-CN"/>
              </w:rPr>
              <w:t xml:space="preserve">  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1 纠正/预防措施的实施及效果</w:t>
            </w:r>
            <w:r>
              <w:rPr>
                <w:rFonts w:hint="eastAsia"/>
                <w:b w:val="0"/>
                <w:bCs/>
                <w:color w:val="000000" w:themeColor="text1"/>
                <w:spacing w:val="-8"/>
                <w:sz w:val="20"/>
                <w:szCs w:val="20"/>
              </w:rPr>
              <w:t>;</w:t>
            </w:r>
            <w:r>
              <w:rPr>
                <w:rFonts w:hint="eastAsia"/>
                <w:b w:val="0"/>
                <w:bCs/>
                <w:color w:val="000000" w:themeColor="text1"/>
                <w:spacing w:val="-8"/>
                <w:sz w:val="20"/>
                <w:szCs w:val="20"/>
                <w:lang w:val="en-US" w:eastAsia="zh-CN"/>
              </w:rPr>
              <w:t>纠正/纠正措施实施有效。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eastAsia="宋体"/>
                <w:b/>
                <w:color w:val="000000" w:themeColor="text1"/>
                <w:spacing w:val="-20"/>
                <w:sz w:val="20"/>
                <w:szCs w:val="20"/>
                <w:lang w:val="en-US" w:eastAsia="zh-CN"/>
              </w:rPr>
            </w:pPr>
            <w:r>
              <w:rPr>
                <w:rFonts w:hint="eastAsia"/>
                <w:b/>
                <w:color w:val="000000" w:themeColor="text1"/>
                <w:spacing w:val="-20"/>
                <w:sz w:val="20"/>
                <w:szCs w:val="20"/>
              </w:rPr>
              <w:t>2（近一年）重大事故、顾客/相关方投诉：：</w:t>
            </w:r>
            <w:r>
              <w:rPr>
                <w:rFonts w:hint="eastAsia"/>
                <w:b w:val="0"/>
                <w:bCs/>
                <w:color w:val="000000" w:themeColor="text1"/>
                <w:spacing w:val="-20"/>
                <w:sz w:val="20"/>
                <w:szCs w:val="20"/>
                <w:lang w:val="en-US" w:eastAsia="zh-CN"/>
              </w:rPr>
              <w:t>无</w:t>
            </w:r>
          </w:p>
          <w:p>
            <w:pPr>
              <w:spacing w:line="240" w:lineRule="exact"/>
              <w:rPr>
                <w:b/>
                <w:color w:val="000000" w:themeColor="text1"/>
                <w:spacing w:val="-20"/>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3. 一阶段提出问题的整改情况?</w:t>
            </w:r>
            <w:r>
              <w:rPr>
                <w:rFonts w:hint="eastAsia"/>
                <w:b w:val="0"/>
                <w:bCs/>
                <w:color w:val="000000" w:themeColor="text1"/>
                <w:sz w:val="20"/>
                <w:szCs w:val="20"/>
                <w:lang w:val="en-US" w:eastAsia="zh-CN"/>
              </w:rPr>
              <w:t>整改完毕</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4.创新情况</w:t>
            </w:r>
            <w:r>
              <w:rPr>
                <w:rFonts w:hint="eastAsia"/>
                <w:b/>
                <w:color w:val="000000" w:themeColor="text1"/>
                <w:sz w:val="20"/>
                <w:szCs w:val="20"/>
                <w:lang w:eastAsia="zh-CN"/>
              </w:rPr>
              <w:t>：</w:t>
            </w: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9"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r>
              <w:rPr>
                <w:rFonts w:hint="eastAsia"/>
                <w:b w:val="0"/>
                <w:bCs/>
                <w:color w:val="000000" w:themeColor="text1"/>
                <w:sz w:val="22"/>
                <w:szCs w:val="22"/>
              </w:rPr>
              <w:t>组织体系运行满足标准要求，既定目标能达成，向顾客提供稳定、合格产品，满足适用的质量</w:t>
            </w:r>
            <w:r>
              <w:rPr>
                <w:b w:val="0"/>
                <w:bCs/>
                <w:color w:val="000000" w:themeColor="text1"/>
                <w:sz w:val="22"/>
                <w:szCs w:val="22"/>
              </w:rPr>
              <w:t>/</w:t>
            </w:r>
            <w:r>
              <w:rPr>
                <w:rFonts w:hint="eastAsia"/>
                <w:b w:val="0"/>
                <w:bCs/>
                <w:color w:val="000000" w:themeColor="text1"/>
                <w:sz w:val="22"/>
                <w:szCs w:val="22"/>
              </w:rPr>
              <w:t>环境</w:t>
            </w:r>
            <w:r>
              <w:rPr>
                <w:b w:val="0"/>
                <w:bCs/>
                <w:color w:val="000000" w:themeColor="text1"/>
                <w:sz w:val="22"/>
                <w:szCs w:val="22"/>
              </w:rPr>
              <w:t>/</w:t>
            </w:r>
            <w:r>
              <w:rPr>
                <w:rFonts w:hint="eastAsia"/>
                <w:b w:val="0"/>
                <w:bCs/>
                <w:color w:val="000000" w:themeColor="text1"/>
                <w:sz w:val="22"/>
                <w:szCs w:val="22"/>
              </w:rPr>
              <w:t>职业健康安全法规要求，防止环境污染和重大职业健康安全事故，对周边环境没有产生不利影响，实施措施基本有效。体系运行基本适宜、充分、有效，基本建立自我完善机制。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rFonts w:hint="eastAsia" w:eastAsia="宋体"/>
                <w:color w:val="000000"/>
                <w:szCs w:val="21"/>
                <w:lang w:eastAsia="zh-CN"/>
              </w:rPr>
            </w:pPr>
            <w:r>
              <w:rPr>
                <w:rFonts w:hint="eastAsia" w:ascii="宋体" w:hAnsi="宋体"/>
                <w:szCs w:val="21"/>
              </w:rPr>
              <w:t>Q：供电服务(限许可范围内）</w:t>
            </w:r>
            <w:r>
              <w:rPr>
                <w:rFonts w:hint="eastAsia" w:ascii="宋体" w:hAnsi="宋体"/>
                <w:szCs w:val="21"/>
                <w:lang w:eastAsia="zh-CN"/>
              </w:rPr>
              <w:t>；</w:t>
            </w:r>
          </w:p>
          <w:p>
            <w:pPr>
              <w:rPr>
                <w:rFonts w:hint="eastAsia" w:ascii="宋体" w:hAnsi="宋体" w:eastAsia="宋体"/>
                <w:szCs w:val="21"/>
                <w:lang w:eastAsia="zh-CN"/>
              </w:rPr>
            </w:pPr>
            <w:r>
              <w:rPr>
                <w:rFonts w:hint="eastAsia" w:ascii="宋体" w:hAnsi="宋体"/>
                <w:szCs w:val="21"/>
              </w:rPr>
              <w:t>E：供电服务(限许可范围内）所涉及场所相关的环境管理活动</w:t>
            </w:r>
            <w:r>
              <w:rPr>
                <w:rFonts w:hint="eastAsia" w:ascii="宋体" w:hAnsi="宋体"/>
                <w:szCs w:val="21"/>
                <w:lang w:eastAsia="zh-CN"/>
              </w:rPr>
              <w:t>；</w:t>
            </w:r>
          </w:p>
          <w:p>
            <w:pPr>
              <w:snapToGrid w:val="0"/>
              <w:spacing w:line="280" w:lineRule="exact"/>
              <w:rPr>
                <w:rFonts w:hint="eastAsia" w:eastAsia="宋体"/>
                <w:b/>
                <w:color w:val="000000" w:themeColor="text1"/>
                <w:spacing w:val="-10"/>
                <w:sz w:val="22"/>
                <w:szCs w:val="22"/>
                <w:lang w:eastAsia="zh-CN"/>
              </w:rPr>
            </w:pPr>
            <w:r>
              <w:rPr>
                <w:rFonts w:hint="eastAsia" w:ascii="宋体" w:hAnsi="宋体"/>
                <w:szCs w:val="21"/>
              </w:rPr>
              <w:t>O：供电服务(限许可范围内）所涉及场所相关的职业健康安全管理活动</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w:t>
      </w:r>
      <w:r>
        <w:rPr>
          <w:rFonts w:hint="eastAsia"/>
          <w:b/>
          <w:color w:val="000000" w:themeColor="text1"/>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rPr>
          <w:rFonts w:hint="eastAsia" w:ascii="宋体" w:hAnsi="宋体" w:eastAsia="宋体"/>
          <w:color w:val="auto"/>
          <w:lang w:eastAsia="zh-CN"/>
        </w:rPr>
        <w:drawing>
          <wp:anchor distT="0" distB="0" distL="114300" distR="114300" simplePos="0" relativeHeight="251661312" behindDoc="0" locked="0" layoutInCell="1" allowOverlap="1">
            <wp:simplePos x="0" y="0"/>
            <wp:positionH relativeFrom="column">
              <wp:posOffset>1599565</wp:posOffset>
            </wp:positionH>
            <wp:positionV relativeFrom="paragraph">
              <wp:posOffset>136525</wp:posOffset>
            </wp:positionV>
            <wp:extent cx="713105" cy="635000"/>
            <wp:effectExtent l="0" t="0" r="10795" b="0"/>
            <wp:wrapSquare wrapText="bothSides"/>
            <wp:docPr id="4" name="图片 5"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1553999692(1)"/>
                    <pic:cNvPicPr>
                      <a:picLocks noChangeAspect="1"/>
                    </pic:cNvPicPr>
                  </pic:nvPicPr>
                  <pic:blipFill>
                    <a:blip r:embed="rId6">
                      <a:lum bright="35999"/>
                    </a:blip>
                    <a:stretch>
                      <a:fillRect/>
                    </a:stretch>
                  </pic:blipFill>
                  <pic:spPr>
                    <a:xfrm>
                      <a:off x="0" y="0"/>
                      <a:ext cx="713105" cy="63500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drawing>
          <wp:inline distT="0" distB="0" distL="114300" distR="114300">
            <wp:extent cx="1031875" cy="523240"/>
            <wp:effectExtent l="0" t="0" r="9525" b="1016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lum bright="42000"/>
                    </a:blip>
                    <a:stretch>
                      <a:fillRect/>
                    </a:stretch>
                  </pic:blipFill>
                  <pic:spPr>
                    <a:xfrm>
                      <a:off x="0" y="0"/>
                      <a:ext cx="1031875" cy="523240"/>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2</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rFonts w:hint="eastAsia"/>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pStyle w:val="2"/>
      </w:pPr>
      <w:r>
        <w:rPr>
          <w:rFonts w:hint="eastAsia" w:ascii="宋体" w:hAnsi="宋体" w:eastAsia="宋体"/>
          <w:color w:val="auto"/>
          <w:lang w:eastAsia="zh-CN"/>
        </w:rPr>
        <w:drawing>
          <wp:anchor distT="0" distB="0" distL="114300" distR="114300" simplePos="0" relativeHeight="251659264" behindDoc="0" locked="0" layoutInCell="1" allowOverlap="1">
            <wp:simplePos x="0" y="0"/>
            <wp:positionH relativeFrom="column">
              <wp:posOffset>975995</wp:posOffset>
            </wp:positionH>
            <wp:positionV relativeFrom="paragraph">
              <wp:posOffset>141605</wp:posOffset>
            </wp:positionV>
            <wp:extent cx="713105" cy="635000"/>
            <wp:effectExtent l="0" t="0" r="10795" b="0"/>
            <wp:wrapSquare wrapText="bothSides"/>
            <wp:docPr id="3" name="图片 5"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1553999692(1)"/>
                    <pic:cNvPicPr>
                      <a:picLocks noChangeAspect="1"/>
                    </pic:cNvPicPr>
                  </pic:nvPicPr>
                  <pic:blipFill>
                    <a:blip r:embed="rId6">
                      <a:lum bright="35999"/>
                    </a:blip>
                    <a:stretch>
                      <a:fillRect/>
                    </a:stretch>
                  </pic:blipFill>
                  <pic:spPr>
                    <a:xfrm>
                      <a:off x="0" y="0"/>
                      <a:ext cx="713105" cy="635000"/>
                    </a:xfrm>
                    <a:prstGeom prst="rect">
                      <a:avLst/>
                    </a:prstGeom>
                    <a:noFill/>
                    <a:ln>
                      <a:noFill/>
                    </a:ln>
                  </pic:spPr>
                </pic:pic>
              </a:graphicData>
            </a:graphic>
          </wp:anchor>
        </w:drawing>
      </w:r>
    </w:p>
    <w:p>
      <w:pPr>
        <w:spacing w:before="312" w:beforeLines="100" w:after="156" w:afterLines="50"/>
        <w:rPr>
          <w:b/>
          <w:color w:val="000000" w:themeColor="text1"/>
          <w:szCs w:val="21"/>
        </w:rPr>
      </w:pP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3</w:t>
      </w:r>
      <w:r>
        <w:rPr>
          <w:rFonts w:hint="eastAsia"/>
          <w:b/>
          <w:color w:val="000000" w:themeColor="text1"/>
          <w:szCs w:val="21"/>
        </w:rPr>
        <w:t>月</w:t>
      </w:r>
      <w:r>
        <w:rPr>
          <w:rFonts w:hint="eastAsia"/>
          <w:b/>
          <w:color w:val="000000" w:themeColor="text1"/>
          <w:szCs w:val="21"/>
          <w:lang w:val="en-US" w:eastAsia="zh-CN"/>
        </w:rPr>
        <w:t>19</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BA266E7"/>
    <w:multiLevelType w:val="singleLevel"/>
    <w:tmpl w:val="4BA266E7"/>
    <w:lvl w:ilvl="0" w:tentative="0">
      <w:start w:val="8"/>
      <w:numFmt w:val="decimal"/>
      <w:lvlText w:val="%1."/>
      <w:lvlJc w:val="left"/>
      <w:pPr>
        <w:tabs>
          <w:tab w:val="left" w:pos="312"/>
        </w:tabs>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1A01FC"/>
    <w:rsid w:val="01A229DA"/>
    <w:rsid w:val="128A7A86"/>
    <w:rsid w:val="25F625D0"/>
    <w:rsid w:val="2DBB5CE5"/>
    <w:rsid w:val="76E743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spacing w:before="50" w:after="50" w:line="360" w:lineRule="auto"/>
      <w:ind w:firstLine="200" w:firstLineChars="200"/>
    </w:pPr>
  </w:style>
  <w:style w:type="paragraph" w:styleId="3">
    <w:name w:val="Balloon Text"/>
    <w:basedOn w:val="1"/>
    <w:link w:val="16"/>
    <w:semiHidden/>
    <w:unhideWhenUsed/>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toc 2"/>
    <w:basedOn w:val="1"/>
    <w:next w:val="1"/>
    <w:unhideWhenUsed/>
    <w:qFormat/>
    <w:uiPriority w:val="39"/>
    <w:pPr>
      <w:ind w:left="210"/>
      <w:jc w:val="left"/>
    </w:pPr>
    <w:rPr>
      <w:rFonts w:cstheme="minorHAnsi"/>
      <w:smallCaps/>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Hyperlink"/>
    <w:basedOn w:val="10"/>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3</TotalTime>
  <ScaleCrop>false</ScaleCrop>
  <LinksUpToDate>false</LinksUpToDate>
  <CharactersWithSpaces>5143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2021-03-21T22:31:06Z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