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0"/>
        <w:gridCol w:w="960"/>
        <w:gridCol w:w="10596"/>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96"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运行部     </w:t>
            </w:r>
            <w:r>
              <w:rPr>
                <w:rFonts w:hint="eastAsia"/>
                <w:sz w:val="24"/>
                <w:szCs w:val="24"/>
              </w:rPr>
              <w:t>陪同：</w:t>
            </w:r>
            <w:r>
              <w:rPr>
                <w:rFonts w:hint="eastAsia"/>
                <w:sz w:val="24"/>
                <w:szCs w:val="24"/>
                <w:lang w:val="en-US" w:eastAsia="zh-CN"/>
              </w:rPr>
              <w:t>余学好</w:t>
            </w:r>
          </w:p>
        </w:tc>
        <w:tc>
          <w:tcPr>
            <w:tcW w:w="99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widowControl/>
              <w:jc w:val="left"/>
            </w:pPr>
          </w:p>
        </w:tc>
        <w:tc>
          <w:tcPr>
            <w:tcW w:w="960" w:type="dxa"/>
            <w:vMerge w:val="continue"/>
            <w:vAlign w:val="center"/>
          </w:tcPr>
          <w:p>
            <w:pPr>
              <w:widowControl/>
              <w:jc w:val="left"/>
            </w:pPr>
          </w:p>
        </w:tc>
        <w:tc>
          <w:tcPr>
            <w:tcW w:w="10596" w:type="dxa"/>
            <w:vAlign w:val="center"/>
          </w:tcPr>
          <w:p>
            <w:pPr>
              <w:spacing w:before="120"/>
            </w:pPr>
            <w:r>
              <w:rPr>
                <w:rFonts w:hint="eastAsia"/>
                <w:sz w:val="24"/>
                <w:szCs w:val="24"/>
              </w:rPr>
              <w:t>审核员：</w:t>
            </w:r>
            <w:r>
              <w:rPr>
                <w:rFonts w:hint="eastAsia"/>
                <w:sz w:val="24"/>
                <w:szCs w:val="24"/>
                <w:lang w:val="en-US" w:eastAsia="zh-CN"/>
              </w:rPr>
              <w:t>周涛</w:t>
            </w:r>
            <w:r>
              <w:rPr>
                <w:sz w:val="24"/>
                <w:szCs w:val="24"/>
              </w:rPr>
              <w:t xml:space="preserve">     </w:t>
            </w:r>
            <w:r>
              <w:rPr>
                <w:rFonts w:hint="eastAsia"/>
                <w:sz w:val="24"/>
                <w:szCs w:val="24"/>
              </w:rPr>
              <w:t>审核时间：</w:t>
            </w:r>
            <w:r>
              <w:rPr>
                <w:sz w:val="24"/>
                <w:szCs w:val="24"/>
              </w:rPr>
              <w:t xml:space="preserve"> 20</w:t>
            </w:r>
            <w:r>
              <w:rPr>
                <w:rFonts w:hint="eastAsia"/>
                <w:sz w:val="24"/>
                <w:szCs w:val="24"/>
                <w:lang w:val="en-US" w:eastAsia="zh-CN"/>
              </w:rPr>
              <w:t>21</w:t>
            </w:r>
            <w:r>
              <w:rPr>
                <w:rFonts w:hint="eastAsia"/>
                <w:sz w:val="24"/>
                <w:szCs w:val="24"/>
              </w:rPr>
              <w:t>年</w:t>
            </w:r>
            <w:r>
              <w:rPr>
                <w:rFonts w:hint="eastAsia"/>
                <w:sz w:val="24"/>
                <w:szCs w:val="24"/>
                <w:lang w:val="en-US" w:eastAsia="zh-CN"/>
              </w:rPr>
              <w:t>1</w:t>
            </w:r>
            <w:r>
              <w:rPr>
                <w:rFonts w:hint="eastAsia"/>
                <w:sz w:val="24"/>
                <w:szCs w:val="24"/>
              </w:rPr>
              <w:t>月</w:t>
            </w:r>
            <w:r>
              <w:rPr>
                <w:rFonts w:hint="eastAsia"/>
                <w:sz w:val="24"/>
                <w:szCs w:val="24"/>
                <w:lang w:val="en-US" w:eastAsia="zh-CN"/>
              </w:rPr>
              <w:t>28</w:t>
            </w:r>
            <w:r>
              <w:rPr>
                <w:rFonts w:hint="eastAsia"/>
                <w:sz w:val="24"/>
                <w:szCs w:val="24"/>
              </w:rPr>
              <w:t>日</w:t>
            </w:r>
          </w:p>
        </w:tc>
        <w:tc>
          <w:tcPr>
            <w:tcW w:w="993" w:type="dxa"/>
            <w:vMerge w:val="continue"/>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widowControl/>
              <w:jc w:val="left"/>
            </w:pPr>
          </w:p>
        </w:tc>
        <w:tc>
          <w:tcPr>
            <w:tcW w:w="960" w:type="dxa"/>
            <w:vMerge w:val="continue"/>
            <w:vAlign w:val="center"/>
          </w:tcPr>
          <w:p>
            <w:pPr>
              <w:widowControl/>
              <w:jc w:val="left"/>
            </w:pPr>
          </w:p>
        </w:tc>
        <w:tc>
          <w:tcPr>
            <w:tcW w:w="10596" w:type="dxa"/>
            <w:vAlign w:val="center"/>
          </w:tcPr>
          <w:p>
            <w:pPr>
              <w:autoSpaceDE w:val="0"/>
              <w:autoSpaceDN w:val="0"/>
              <w:adjustRightInd w:val="0"/>
              <w:rPr>
                <w:rFonts w:hint="eastAsia" w:ascii="宋体" w:hAnsi="宋体" w:cs="CIDFont+F5"/>
                <w:bCs/>
                <w:kern w:val="0"/>
                <w:szCs w:val="21"/>
              </w:rPr>
            </w:pPr>
            <w:r>
              <w:rPr>
                <w:rFonts w:hint="eastAsia"/>
                <w:sz w:val="24"/>
                <w:szCs w:val="24"/>
              </w:rPr>
              <w:t>审核条款：</w:t>
            </w:r>
            <w:r>
              <w:rPr>
                <w:rFonts w:hint="eastAsia" w:ascii="宋体" w:hAnsi="宋体" w:cs="CIDFont+F2"/>
                <w:bCs/>
                <w:kern w:val="0"/>
                <w:szCs w:val="21"/>
              </w:rPr>
              <w:t>1、</w:t>
            </w:r>
            <w:r>
              <w:rPr>
                <w:rFonts w:hint="eastAsia" w:ascii="宋体" w:hAnsi="宋体" w:cs="CIDFont+F5"/>
                <w:bCs/>
                <w:kern w:val="0"/>
                <w:szCs w:val="21"/>
              </w:rPr>
              <w:t>了解组织实际业务活动情况；</w:t>
            </w:r>
          </w:p>
          <w:p>
            <w:pPr>
              <w:autoSpaceDE w:val="0"/>
              <w:autoSpaceDN w:val="0"/>
              <w:adjustRightInd w:val="0"/>
              <w:ind w:left="315" w:hanging="315" w:hangingChars="150"/>
              <w:rPr>
                <w:rFonts w:hint="eastAsia" w:ascii="宋体" w:hAnsi="宋体" w:cs="CIDFont+F5"/>
                <w:bCs/>
                <w:kern w:val="0"/>
                <w:szCs w:val="21"/>
              </w:rPr>
            </w:pPr>
            <w:r>
              <w:rPr>
                <w:rFonts w:hint="eastAsia" w:ascii="宋体" w:hAnsi="宋体" w:cs="CIDFont+F2"/>
                <w:bCs/>
                <w:kern w:val="0"/>
                <w:szCs w:val="21"/>
              </w:rPr>
              <w:t>2</w:t>
            </w:r>
            <w:r>
              <w:rPr>
                <w:rFonts w:hint="eastAsia" w:ascii="宋体" w:hAnsi="宋体" w:cs="CIDFont+F5"/>
                <w:bCs/>
                <w:kern w:val="0"/>
                <w:szCs w:val="21"/>
              </w:rPr>
              <w:t>、组织及其环境的确定及风险和机遇的识别及控制措施的确定；是否识别了</w:t>
            </w:r>
            <w:r>
              <w:rPr>
                <w:rFonts w:hint="eastAsia" w:ascii="宋体" w:hAnsi="宋体"/>
                <w:bCs/>
                <w:szCs w:val="21"/>
                <w:shd w:val="clear" w:color="auto" w:fill="FFFFFF"/>
              </w:rPr>
              <w:t>相关方的需求和期望；</w:t>
            </w:r>
          </w:p>
          <w:p>
            <w:pPr>
              <w:autoSpaceDE w:val="0"/>
              <w:autoSpaceDN w:val="0"/>
              <w:adjustRightInd w:val="0"/>
              <w:ind w:left="315" w:hanging="315" w:hangingChars="150"/>
              <w:rPr>
                <w:rFonts w:hint="eastAsia" w:ascii="宋体" w:hAnsi="宋体" w:cs="CIDFont+F5"/>
                <w:bCs/>
                <w:kern w:val="0"/>
                <w:szCs w:val="21"/>
              </w:rPr>
            </w:pPr>
            <w:r>
              <w:rPr>
                <w:rFonts w:hint="eastAsia" w:ascii="宋体" w:hAnsi="宋体" w:cs="CIDFont+F2"/>
                <w:bCs/>
                <w:kern w:val="0"/>
                <w:szCs w:val="21"/>
              </w:rPr>
              <w:t>3</w:t>
            </w:r>
            <w:r>
              <w:rPr>
                <w:rFonts w:hint="eastAsia" w:ascii="宋体" w:hAnsi="宋体" w:cs="CIDFont+F5"/>
                <w:bCs/>
                <w:kern w:val="0"/>
                <w:szCs w:val="21"/>
              </w:rPr>
              <w:t>、过程策划实施情况，确认特殊过程和关键过程识别的充分性、合理性；</w:t>
            </w:r>
          </w:p>
          <w:p>
            <w:pPr>
              <w:autoSpaceDE w:val="0"/>
              <w:autoSpaceDN w:val="0"/>
              <w:adjustRightInd w:val="0"/>
              <w:ind w:left="315" w:hanging="315" w:hangingChars="150"/>
              <w:rPr>
                <w:rFonts w:ascii="宋体" w:hAnsi="宋体" w:cs="CIDFont+F5"/>
                <w:bCs/>
                <w:kern w:val="0"/>
                <w:szCs w:val="21"/>
              </w:rPr>
            </w:pPr>
            <w:r>
              <w:rPr>
                <w:rFonts w:hint="eastAsia" w:ascii="宋体" w:hAnsi="宋体" w:cs="CIDFont+F2"/>
                <w:bCs/>
                <w:kern w:val="0"/>
                <w:szCs w:val="21"/>
              </w:rPr>
              <w:t>4、</w:t>
            </w:r>
            <w:r>
              <w:rPr>
                <w:rFonts w:hint="eastAsia" w:ascii="宋体" w:hAnsi="宋体" w:cs="CIDFont+F5"/>
                <w:bCs/>
                <w:kern w:val="0"/>
                <w:szCs w:val="21"/>
              </w:rPr>
              <w:t>了解作业文件、记录的策划情况；</w:t>
            </w:r>
          </w:p>
          <w:p>
            <w:pPr>
              <w:autoSpaceDE w:val="0"/>
              <w:autoSpaceDN w:val="0"/>
              <w:adjustRightInd w:val="0"/>
              <w:ind w:left="315" w:hanging="315" w:hangingChars="150"/>
              <w:rPr>
                <w:rFonts w:hint="eastAsia" w:ascii="宋体" w:hAnsi="宋体" w:cs="CIDFont+F5"/>
                <w:bCs/>
                <w:kern w:val="0"/>
                <w:szCs w:val="21"/>
              </w:rPr>
            </w:pPr>
            <w:r>
              <w:rPr>
                <w:rFonts w:hint="eastAsia" w:ascii="宋体" w:hAnsi="宋体" w:cs="CIDFont+F2"/>
                <w:bCs/>
                <w:kern w:val="0"/>
                <w:szCs w:val="21"/>
              </w:rPr>
              <w:t>5</w:t>
            </w:r>
            <w:r>
              <w:rPr>
                <w:rFonts w:hint="eastAsia" w:ascii="宋体" w:hAnsi="宋体" w:cs="CIDFont+F5"/>
                <w:bCs/>
                <w:kern w:val="0"/>
                <w:szCs w:val="21"/>
              </w:rPr>
              <w:t>、确认是否有外包过程、分场所及其人员情况等；</w:t>
            </w:r>
          </w:p>
          <w:p>
            <w:pPr>
              <w:autoSpaceDE w:val="0"/>
              <w:autoSpaceDN w:val="0"/>
              <w:adjustRightInd w:val="0"/>
              <w:rPr>
                <w:rFonts w:ascii="宋体" w:hAnsi="宋体" w:cs="CIDFont+F5"/>
                <w:bCs/>
                <w:kern w:val="0"/>
                <w:szCs w:val="21"/>
              </w:rPr>
            </w:pPr>
            <w:r>
              <w:rPr>
                <w:rFonts w:hint="eastAsia" w:ascii="宋体" w:hAnsi="宋体" w:cs="CIDFont+F2"/>
                <w:bCs/>
                <w:kern w:val="0"/>
                <w:szCs w:val="21"/>
              </w:rPr>
              <w:t>6</w:t>
            </w:r>
            <w:r>
              <w:rPr>
                <w:rFonts w:hint="eastAsia" w:ascii="宋体" w:hAnsi="宋体" w:cs="CIDFont+F5"/>
                <w:bCs/>
                <w:kern w:val="0"/>
                <w:szCs w:val="21"/>
              </w:rPr>
              <w:t>、监视和测量装置的配置及定期检定情况；</w:t>
            </w:r>
          </w:p>
          <w:p>
            <w:pPr>
              <w:autoSpaceDE w:val="0"/>
              <w:autoSpaceDN w:val="0"/>
              <w:adjustRightInd w:val="0"/>
              <w:ind w:left="315" w:hanging="315" w:hangingChars="150"/>
              <w:rPr>
                <w:rFonts w:hint="eastAsia" w:ascii="宋体" w:hAnsi="宋体" w:cs="CIDFont+F5"/>
                <w:bCs/>
                <w:kern w:val="0"/>
                <w:szCs w:val="21"/>
              </w:rPr>
            </w:pPr>
            <w:r>
              <w:rPr>
                <w:rFonts w:hint="eastAsia" w:ascii="宋体" w:hAnsi="宋体" w:cs="CIDFont+F2"/>
                <w:bCs/>
                <w:kern w:val="0"/>
                <w:szCs w:val="21"/>
              </w:rPr>
              <w:t>7</w:t>
            </w:r>
            <w:r>
              <w:rPr>
                <w:rFonts w:hint="eastAsia" w:ascii="宋体" w:hAnsi="宋体" w:cs="CIDFont+F5"/>
                <w:bCs/>
                <w:kern w:val="0"/>
                <w:szCs w:val="21"/>
              </w:rPr>
              <w:t>、对适用的标准及法律法规要求的识别收集情况；</w:t>
            </w:r>
            <w:r>
              <w:rPr>
                <w:rFonts w:hint="eastAsia" w:ascii="宋体" w:hAnsi="宋体" w:cs="CIDFont+F2"/>
                <w:bCs/>
                <w:kern w:val="0"/>
                <w:szCs w:val="21"/>
              </w:rPr>
              <w:t>是否进行了合规性评价；</w:t>
            </w:r>
          </w:p>
          <w:p>
            <w:pPr>
              <w:autoSpaceDE w:val="0"/>
              <w:autoSpaceDN w:val="0"/>
              <w:adjustRightInd w:val="0"/>
              <w:ind w:left="315" w:hanging="315" w:hangingChars="150"/>
              <w:rPr>
                <w:rFonts w:hint="eastAsia" w:ascii="宋体" w:hAnsi="宋体" w:cs="CIDFont+F5"/>
                <w:bCs/>
                <w:kern w:val="0"/>
                <w:szCs w:val="21"/>
                <w:u w:val="single"/>
              </w:rPr>
            </w:pPr>
            <w:r>
              <w:rPr>
                <w:rFonts w:hint="eastAsia" w:ascii="宋体" w:hAnsi="宋体" w:cs="CIDFont+F2"/>
                <w:bCs/>
                <w:kern w:val="0"/>
                <w:szCs w:val="21"/>
              </w:rPr>
              <w:t>8</w:t>
            </w:r>
            <w:r>
              <w:rPr>
                <w:rFonts w:hint="eastAsia" w:ascii="宋体" w:hAnsi="宋体" w:cs="CIDFont+F5"/>
                <w:bCs/>
                <w:kern w:val="0"/>
                <w:szCs w:val="21"/>
              </w:rPr>
              <w:t>、</w:t>
            </w:r>
            <w:r>
              <w:rPr>
                <w:rFonts w:hint="eastAsia" w:ascii="宋体" w:hAnsi="宋体" w:cs="CIDFont+F5"/>
                <w:bCs/>
                <w:kern w:val="0"/>
                <w:szCs w:val="21"/>
                <w:u w:val="single"/>
              </w:rPr>
              <w:t>环境因素</w:t>
            </w:r>
            <w:r>
              <w:rPr>
                <w:rFonts w:hint="eastAsia" w:ascii="宋体" w:hAnsi="宋体" w:cs="CIDFont+F5"/>
                <w:bCs/>
                <w:kern w:val="0"/>
                <w:szCs w:val="21"/>
              </w:rPr>
              <w:t>、危险源的识别、</w:t>
            </w:r>
            <w:r>
              <w:rPr>
                <w:rFonts w:hint="eastAsia" w:ascii="宋体" w:hAnsi="宋体" w:cs="CIDFont+F5"/>
                <w:bCs/>
                <w:kern w:val="0"/>
                <w:szCs w:val="21"/>
                <w:u w:val="single"/>
              </w:rPr>
              <w:t>评价及控制措施；</w:t>
            </w:r>
          </w:p>
          <w:p>
            <w:pPr>
              <w:autoSpaceDE w:val="0"/>
              <w:autoSpaceDN w:val="0"/>
              <w:adjustRightInd w:val="0"/>
              <w:ind w:left="315" w:hanging="315" w:hangingChars="150"/>
              <w:rPr>
                <w:rFonts w:hint="eastAsia" w:ascii="宋体" w:hAnsi="宋体" w:cs="CIDFont+F5"/>
                <w:bCs/>
                <w:kern w:val="0"/>
                <w:szCs w:val="21"/>
              </w:rPr>
            </w:pPr>
            <w:r>
              <w:rPr>
                <w:rFonts w:hint="eastAsia" w:ascii="宋体" w:hAnsi="宋体" w:cs="CIDFont+F2"/>
                <w:bCs/>
                <w:kern w:val="0"/>
                <w:szCs w:val="21"/>
              </w:rPr>
              <w:t>9、生产现场巡视</w:t>
            </w:r>
          </w:p>
          <w:p>
            <w:pPr>
              <w:rPr>
                <w:sz w:val="24"/>
                <w:szCs w:val="24"/>
              </w:rPr>
            </w:pPr>
            <w:r>
              <w:rPr>
                <w:rFonts w:hint="eastAsia" w:ascii="宋体" w:hAnsi="宋体" w:cs="CIDFont+F5"/>
                <w:bCs/>
                <w:kern w:val="0"/>
                <w:szCs w:val="21"/>
              </w:rPr>
              <w:t>10、确认组织管理体系认证范围、过程和场所的相关信息；</w:t>
            </w:r>
          </w:p>
        </w:tc>
        <w:tc>
          <w:tcPr>
            <w:tcW w:w="993" w:type="dxa"/>
            <w:vMerge w:val="continue"/>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utoSpaceDE w:val="0"/>
              <w:autoSpaceDN w:val="0"/>
              <w:adjustRightInd w:val="0"/>
            </w:pPr>
            <w:r>
              <w:rPr>
                <w:rFonts w:hint="eastAsia" w:ascii="宋体" w:hAnsi="宋体" w:cs="CIDFont+F2"/>
                <w:bCs/>
                <w:kern w:val="0"/>
                <w:szCs w:val="21"/>
              </w:rPr>
              <w:t>1、</w:t>
            </w:r>
            <w:r>
              <w:rPr>
                <w:rFonts w:hint="eastAsia" w:ascii="宋体" w:hAnsi="宋体" w:cs="CIDFont+F5"/>
                <w:bCs/>
                <w:kern w:val="0"/>
                <w:szCs w:val="21"/>
              </w:rPr>
              <w:t>了解组织实际业务活动情况；</w:t>
            </w:r>
          </w:p>
        </w:tc>
        <w:tc>
          <w:tcPr>
            <w:tcW w:w="960" w:type="dxa"/>
          </w:tcPr>
          <w:p/>
        </w:tc>
        <w:tc>
          <w:tcPr>
            <w:tcW w:w="10596" w:type="dxa"/>
          </w:tcPr>
          <w:p>
            <w:pPr>
              <w:rPr>
                <w:rFonts w:hint="default" w:ascii="宋体" w:eastAsia="宋体"/>
                <w:spacing w:val="20"/>
                <w:szCs w:val="21"/>
                <w:lang w:val="en-US" w:eastAsia="zh-CN"/>
              </w:rPr>
            </w:pPr>
            <w:r>
              <w:rPr>
                <w:rFonts w:hint="eastAsia" w:ascii="宋体"/>
                <w:spacing w:val="20"/>
                <w:szCs w:val="21"/>
                <w:lang w:val="en-US" w:eastAsia="zh-CN"/>
              </w:rPr>
              <w:t>滁州滁能热电有限公司主要负责向滁州市区供电供热的服务工作。</w:t>
            </w:r>
          </w:p>
        </w:tc>
        <w:tc>
          <w:tcPr>
            <w:tcW w:w="993"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r>
              <w:rPr>
                <w:rFonts w:hint="eastAsia"/>
              </w:rPr>
              <w:t>2、组织及其环境的确定及风险和机遇的识别及控制措施的确定；是否识别了相关方的需求和期望；</w:t>
            </w:r>
          </w:p>
        </w:tc>
        <w:tc>
          <w:tcPr>
            <w:tcW w:w="960" w:type="dxa"/>
          </w:tcPr>
          <w:p/>
        </w:tc>
        <w:tc>
          <w:tcPr>
            <w:tcW w:w="10596" w:type="dxa"/>
          </w:tcPr>
          <w:p>
            <w:pPr>
              <w:ind w:firstLine="420" w:firstLineChars="200"/>
              <w:rPr>
                <w:rFonts w:hint="eastAsia"/>
                <w:lang w:val="en-US" w:eastAsia="zh-CN"/>
              </w:rPr>
            </w:pPr>
            <w:r>
              <w:rPr>
                <w:rFonts w:hint="eastAsia"/>
                <w:lang w:val="en-US" w:eastAsia="zh-CN"/>
              </w:rPr>
              <w:t>提供《新形势下电力企业面临的挑战和机遇》分析了热电厂现阶段存在的风险和机遇，</w:t>
            </w:r>
          </w:p>
          <w:p>
            <w:pPr>
              <w:ind w:firstLine="422" w:firstLineChars="200"/>
              <w:rPr>
                <w:rFonts w:hint="eastAsia"/>
                <w:lang w:val="en-US" w:eastAsia="zh-CN"/>
              </w:rPr>
            </w:pPr>
            <w:r>
              <w:rPr>
                <w:rFonts w:hint="eastAsia" w:ascii="黑体" w:hAnsi="黑体" w:eastAsia="黑体"/>
                <w:b/>
                <w:szCs w:val="21"/>
                <w:lang w:val="en-US" w:eastAsia="zh-CN"/>
              </w:rPr>
              <w:t>主要风险有</w:t>
            </w:r>
            <w:r>
              <w:rPr>
                <w:rFonts w:hint="eastAsia"/>
                <w:lang w:val="en-US" w:eastAsia="zh-CN"/>
              </w:rPr>
              <w:t>：</w:t>
            </w:r>
          </w:p>
          <w:p>
            <w:pPr>
              <w:ind w:firstLine="630" w:firstLineChars="300"/>
              <w:rPr>
                <w:szCs w:val="21"/>
              </w:rPr>
            </w:pPr>
            <w:r>
              <w:rPr>
                <w:rFonts w:hint="eastAsia"/>
                <w:szCs w:val="21"/>
              </w:rPr>
              <w:t>目前已核准和已发路条火电项目的发电能力已超过“十三五”新增电力需求，如果“十三五”电力规划不对煤电发展进行合理调控，2020年煤电装机可能会超过我国长远所需要的煤电总装机峰值，意味着煤电大规模过剩。煤电是实现“近零排放”之后继续上大容量担任基荷，还是要上具有调峰能力的合适容量的燃煤发电机组来支撑大规模风电和光伏发电多发满发如何对煤电进行合理调控和准确定位是“十三五”规划需要高度关注的问题。因此，燃煤发电在新增电源中面临挑战。</w:t>
            </w:r>
          </w:p>
          <w:p>
            <w:pPr>
              <w:ind w:firstLine="420" w:firstLineChars="200"/>
              <w:rPr>
                <w:szCs w:val="21"/>
              </w:rPr>
            </w:pPr>
            <w:r>
              <w:rPr>
                <w:rFonts w:hint="eastAsia"/>
                <w:szCs w:val="21"/>
              </w:rPr>
              <w:t>以往的电力规划更多是解决电力资源配置问题，以建电厂和输配电线路等供应侧资源为代表，需求侧用户几乎是被遗忘的市场主体，除了被动接受电力供应外，对电力系统的运行基本上无能为力，在电力规划中更未得到合理体现。在我国资源节约与环境保护双重约束的国情下，应及早变革规划思路，充分考虑需求侧调峰错峰和节能提效潜力，推行电力供应与需求紧密结合的综合资源规划办法。因此，需求侧资源如何纳入规划也面临着挑战。此外，电力企业还面临的</w:t>
            </w:r>
            <w:r>
              <w:rPr>
                <w:szCs w:val="21"/>
              </w:rPr>
              <w:t>主要挑战</w:t>
            </w:r>
            <w:r>
              <w:rPr>
                <w:rFonts w:hint="eastAsia"/>
                <w:szCs w:val="21"/>
              </w:rPr>
              <w:t>在于：</w:t>
            </w:r>
            <w:r>
              <w:rPr>
                <w:szCs w:val="21"/>
              </w:rPr>
              <w:t>企业应变能力的挑战</w:t>
            </w:r>
            <w:r>
              <w:rPr>
                <w:rFonts w:hint="eastAsia"/>
                <w:szCs w:val="21"/>
              </w:rPr>
              <w:t>；</w:t>
            </w:r>
            <w:r>
              <w:rPr>
                <w:szCs w:val="21"/>
              </w:rPr>
              <w:t>电网安全的挑战</w:t>
            </w:r>
            <w:r>
              <w:rPr>
                <w:rFonts w:hint="eastAsia"/>
                <w:szCs w:val="21"/>
              </w:rPr>
              <w:t>；</w:t>
            </w:r>
            <w:r>
              <w:rPr>
                <w:szCs w:val="21"/>
              </w:rPr>
              <w:t>应对电力市场的挑战;内部机制的挑战</w:t>
            </w:r>
            <w:r>
              <w:rPr>
                <w:rFonts w:hint="eastAsia"/>
                <w:szCs w:val="21"/>
              </w:rPr>
              <w:t>；</w:t>
            </w:r>
            <w:r>
              <w:rPr>
                <w:szCs w:val="21"/>
              </w:rPr>
              <w:t>法律政策环境的挑战</w:t>
            </w:r>
            <w:r>
              <w:rPr>
                <w:rFonts w:hint="eastAsia"/>
                <w:szCs w:val="21"/>
              </w:rPr>
              <w:t>；</w:t>
            </w:r>
            <w:r>
              <w:rPr>
                <w:szCs w:val="21"/>
              </w:rPr>
              <w:t>社会期待降低电价与要求电网企业提高服务质量的挑战</w:t>
            </w:r>
            <w:r>
              <w:rPr>
                <w:rFonts w:hint="eastAsia"/>
                <w:szCs w:val="21"/>
              </w:rPr>
              <w:t>；</w:t>
            </w:r>
            <w:r>
              <w:rPr>
                <w:szCs w:val="21"/>
              </w:rPr>
              <w:t>其他能源替代竞争的挑战</w:t>
            </w:r>
            <w:r>
              <w:rPr>
                <w:rFonts w:hint="eastAsia"/>
                <w:szCs w:val="21"/>
              </w:rPr>
              <w:t>等</w:t>
            </w:r>
            <w:r>
              <w:rPr>
                <w:szCs w:val="21"/>
              </w:rPr>
              <w:t>。</w:t>
            </w:r>
          </w:p>
          <w:p>
            <w:pPr>
              <w:ind w:firstLine="420" w:firstLineChars="200"/>
              <w:rPr>
                <w:szCs w:val="21"/>
              </w:rPr>
            </w:pPr>
          </w:p>
          <w:p>
            <w:pPr>
              <w:spacing w:line="360" w:lineRule="auto"/>
              <w:rPr>
                <w:rFonts w:hint="eastAsia" w:ascii="黑体" w:hAnsi="黑体" w:eastAsia="黑体"/>
                <w:b/>
                <w:szCs w:val="21"/>
                <w:lang w:val="en-US" w:eastAsia="zh-CN"/>
              </w:rPr>
            </w:pPr>
            <w:r>
              <w:rPr>
                <w:rFonts w:hint="eastAsia" w:ascii="黑体" w:hAnsi="黑体" w:eastAsia="黑体"/>
                <w:b/>
                <w:szCs w:val="21"/>
                <w:lang w:val="en-US" w:eastAsia="zh-CN"/>
              </w:rPr>
              <w:t>机遇有：</w:t>
            </w:r>
          </w:p>
          <w:p>
            <w:pPr>
              <w:spacing w:line="360" w:lineRule="auto"/>
              <w:rPr>
                <w:rFonts w:ascii="黑体" w:hAnsi="黑体" w:eastAsia="黑体"/>
                <w:b/>
                <w:szCs w:val="21"/>
              </w:rPr>
            </w:pPr>
            <w:r>
              <w:rPr>
                <w:rFonts w:hint="eastAsia" w:ascii="黑体" w:hAnsi="黑体" w:eastAsia="黑体"/>
                <w:b/>
                <w:szCs w:val="21"/>
              </w:rPr>
              <w:t>3.1 总体规划控制成本</w:t>
            </w:r>
          </w:p>
          <w:p>
            <w:pPr>
              <w:ind w:firstLine="420" w:firstLineChars="200"/>
              <w:rPr>
                <w:szCs w:val="21"/>
              </w:rPr>
            </w:pPr>
            <w:r>
              <w:rPr>
                <w:szCs w:val="21"/>
              </w:rPr>
              <w:t>电力体制改革给电网企业带来挑战的同时也带来巨大发展机遇。</w:t>
            </w:r>
            <w:r>
              <w:rPr>
                <w:rFonts w:hint="eastAsia"/>
                <w:szCs w:val="21"/>
              </w:rPr>
              <w:t>改革电力规划机制，逐步引入市场竞争机制。首先，在规划制定环节，充分发挥行业协会、电网企业、大型发电企业以及科研设计院等规划研究力量，制定中长期电力发展战略。在电力中长期战略的指导下编制电力五年规划，把电力规划关注的重点从项目审批逐步转移到对于总量、结构以及布局的优化控制上。要改变诸多专项电源规划、区域电网规划的碎片化现象，将各类电源规划、电网规划等均纳入电力发展总体规划，突出统筹电源与电网发展，煤电与清洁能源发展，发电与调度，各类电源基地布局与重要电力通道布局。</w:t>
            </w:r>
          </w:p>
          <w:p>
            <w:pPr>
              <w:autoSpaceDE w:val="0"/>
              <w:autoSpaceDN w:val="0"/>
              <w:adjustRightInd w:val="0"/>
              <w:ind w:firstLine="420" w:firstLineChars="200"/>
              <w:jc w:val="left"/>
              <w:rPr>
                <w:szCs w:val="21"/>
              </w:rPr>
            </w:pPr>
            <w:r>
              <w:rPr>
                <w:rFonts w:hint="eastAsia"/>
                <w:szCs w:val="21"/>
              </w:rPr>
              <w:t>其次，在规划执行环节，逐步改变电力项目由各企业“跑马圈地”后政府审批的办法，将规划内的电源项目实行公开招标，通过招投标确定项目业主和价格，实际上相当于将电力市场竞争提前到建设环节。电网项目实行备案制，通过市场竞争方式选择投资主体和确定基准电价，以利于从源头上控制电力系统成本。把握信息消费新政有利于挖掘电网优势资源，培育企业新的利润增长点，推动电网主业和关联产业之间的互动发展，也是网络经济背景下，探索电网业务发展创新，实现能源基础设施转型的战略机遇</w:t>
            </w:r>
            <w:r>
              <w:rPr>
                <w:rFonts w:hint="eastAsia"/>
                <w:szCs w:val="21"/>
                <w:vertAlign w:val="superscript"/>
              </w:rPr>
              <w:t>[7]</w:t>
            </w:r>
            <w:r>
              <w:rPr>
                <w:rFonts w:hint="eastAsia"/>
                <w:szCs w:val="21"/>
              </w:rPr>
              <w:t>。</w:t>
            </w:r>
          </w:p>
          <w:p>
            <w:pPr>
              <w:spacing w:line="360" w:lineRule="auto"/>
              <w:rPr>
                <w:rFonts w:ascii="黑体" w:hAnsi="黑体" w:eastAsia="黑体"/>
                <w:b/>
                <w:szCs w:val="21"/>
              </w:rPr>
            </w:pPr>
            <w:r>
              <w:rPr>
                <w:rFonts w:hint="eastAsia" w:ascii="黑体" w:hAnsi="黑体" w:eastAsia="黑体"/>
                <w:b/>
                <w:szCs w:val="21"/>
              </w:rPr>
              <w:t>3.2 促进新能源融入电网保证电力系统安全稳定</w:t>
            </w:r>
          </w:p>
          <w:p>
            <w:pPr>
              <w:ind w:firstLine="420" w:firstLineChars="200"/>
              <w:rPr>
                <w:szCs w:val="21"/>
              </w:rPr>
            </w:pPr>
            <w:r>
              <w:rPr>
                <w:rFonts w:hint="eastAsia"/>
                <w:szCs w:val="21"/>
              </w:rPr>
              <w:t>创新电力规划方法，实现纵向源—网—荷—储协调优化。电力规划要逐步引入综合资源规划的理念，将电力供应侧和需求侧的各种形式的资源综合成为一个整体进行规划，从而达到整个规划系统的社会总成本最小。以提高需求方终端用电效率所节约的资源同样可以作为供应方替代资源这样一个新理念，使得可供利用的资源显著增加，这样可降低电源、电网新建扩建容量，节省大量供应侧资源投入，能够在保证经济增长水平的前提下，实现对能源消费总量的控制，大大降低环境污染物排放。另一方面，以智能电网技术、能源互联网技术、先进输电技术、需求侧响应技术以及相关储能技术作为支撑，实现电源与电网、电网与用户、电源与用户之间的资源优化配置，即实现纵向“源—网—荷—储”协调优化模式。尤其当未来大规模的间歇性、随机性新能源电力接入电网之后，电力需求侧管理及需求侧响应将成为未来新能源电力系统中重要的可调控资源，其将与传统电源、储能设施一起成为保证电力系统安全稳定运行的重要支撑。</w:t>
            </w:r>
          </w:p>
          <w:p>
            <w:pPr>
              <w:spacing w:line="360" w:lineRule="auto"/>
              <w:rPr>
                <w:rFonts w:ascii="黑体" w:hAnsi="黑体" w:eastAsia="黑体"/>
                <w:b/>
                <w:szCs w:val="21"/>
              </w:rPr>
            </w:pPr>
            <w:r>
              <w:rPr>
                <w:rFonts w:hint="eastAsia" w:ascii="黑体" w:hAnsi="黑体" w:eastAsia="黑体"/>
                <w:b/>
                <w:szCs w:val="21"/>
              </w:rPr>
              <w:t>3.3 促进企业技术进步与可持续发展</w:t>
            </w:r>
          </w:p>
          <w:p>
            <w:pPr>
              <w:autoSpaceDE w:val="0"/>
              <w:autoSpaceDN w:val="0"/>
              <w:adjustRightInd w:val="0"/>
              <w:ind w:firstLine="420" w:firstLineChars="200"/>
              <w:jc w:val="left"/>
              <w:rPr>
                <w:szCs w:val="21"/>
              </w:rPr>
            </w:pPr>
            <w:r>
              <w:rPr>
                <w:rFonts w:hint="eastAsia"/>
                <w:szCs w:val="21"/>
              </w:rPr>
              <w:t>调整电源结构，实现横向多源互补。强化电力统一规划，通过构建高效能源传输平台，利用传统化石能源发电的可调控性、灵活性来弥补清洁能源的间歇性、波动性，实现“横向多能源互补优化”，形成多元化、集中式与分布式相协调、协同互动的电力能源供应体系，克服单一区域、单一类型新能源出力波动。合理安排清洁能源发电与传统燃煤发电的组合优化，基于最大限度利用清洁能源的基本目标来配备燃煤发电机组的调峰容量，实现各能源体之间的相互协调配合，促进清洁能源电力的高效外送和消纳。调整新能源发电发展思路，风电和光伏发电发展应坚持集中与分散相结合原则，近中期优先鼓励分散、分布式开发。光伏电源合理的选址定容可以推迟或减少电网升级投资，在保证电网运行的安全性与经济性的同时，推进光伏电源在电网的逐步渗透</w:t>
            </w:r>
            <w:r>
              <w:rPr>
                <w:rFonts w:hint="eastAsia"/>
                <w:szCs w:val="21"/>
                <w:vertAlign w:val="superscript"/>
              </w:rPr>
              <w:t>[8]</w:t>
            </w:r>
            <w:r>
              <w:rPr>
                <w:rFonts w:hint="eastAsia"/>
                <w:szCs w:val="21"/>
              </w:rPr>
              <w:t>。根据社会承受力，设定未来若干年可再生能源上网电价标准和补贴规模，并提前向社会公布，通过倒逼机制促进企业的技术进步和优胜劣汰，从而促进新能源产业的可持续发展。</w:t>
            </w:r>
          </w:p>
          <w:p>
            <w:pPr>
              <w:ind w:firstLine="420" w:firstLineChars="200"/>
              <w:rPr>
                <w:szCs w:val="21"/>
              </w:rPr>
            </w:pPr>
            <w:r>
              <w:rPr>
                <w:rFonts w:hint="eastAsia"/>
                <w:szCs w:val="21"/>
              </w:rPr>
              <w:t>另一方面，协调传统功能电源与调峰电源建设发展，在电力系统加强调峰能力建设和需求侧管理的基础上，“十三五”规划应根据各地具体情况，按照保障发电机组合理利用小时数的原则，在充分挖掘现有机组发电潜力后，再确定新增煤电空间。加快与之配套的辅助服务以及容量市场建设，让燃煤发电从辅助服务市场上“挣大钱”，而在电能市场上充其量只能“挣小钱”，从而平衡电力市场中不同类型、不同功能发电主体的利益，保证我国电力市场健康发展以及电力安全稳定运行。此外，电力企业可以利用当下大环境发展大</w:t>
            </w:r>
            <w:r>
              <w:rPr>
                <w:szCs w:val="21"/>
              </w:rPr>
              <w:t>电网</w:t>
            </w:r>
            <w:r>
              <w:rPr>
                <w:rFonts w:hint="eastAsia"/>
                <w:szCs w:val="21"/>
              </w:rPr>
              <w:t>，</w:t>
            </w:r>
            <w:r>
              <w:rPr>
                <w:szCs w:val="21"/>
              </w:rPr>
              <w:t>调整发展战略</w:t>
            </w:r>
            <w:r>
              <w:rPr>
                <w:rFonts w:hint="eastAsia"/>
                <w:szCs w:val="21"/>
              </w:rPr>
              <w:t>，促进</w:t>
            </w:r>
            <w:r>
              <w:rPr>
                <w:szCs w:val="21"/>
              </w:rPr>
              <w:t>企业内部管理机制转换</w:t>
            </w:r>
            <w:r>
              <w:rPr>
                <w:rFonts w:hint="eastAsia"/>
                <w:szCs w:val="21"/>
              </w:rPr>
              <w:t>，</w:t>
            </w:r>
            <w:r>
              <w:rPr>
                <w:szCs w:val="21"/>
              </w:rPr>
              <w:t>构建电力市场开拓扩大营销市场</w:t>
            </w:r>
            <w:r>
              <w:rPr>
                <w:rFonts w:hint="eastAsia"/>
                <w:szCs w:val="21"/>
              </w:rPr>
              <w:t>，并</w:t>
            </w:r>
            <w:r>
              <w:rPr>
                <w:szCs w:val="21"/>
              </w:rPr>
              <w:t>完善优质服务树立电网企业崭新形象。</w:t>
            </w:r>
          </w:p>
          <w:p>
            <w:pPr>
              <w:tabs>
                <w:tab w:val="left" w:pos="9145"/>
              </w:tabs>
              <w:rPr>
                <w:rFonts w:hint="eastAsia"/>
                <w:lang w:val="de-DE" w:eastAsia="zh-CN"/>
              </w:rPr>
            </w:pPr>
          </w:p>
          <w:p>
            <w:pPr>
              <w:spacing w:line="360" w:lineRule="auto"/>
              <w:rPr>
                <w:rFonts w:hint="eastAsia" w:ascii="黑体" w:hAnsi="黑体" w:eastAsia="黑体"/>
                <w:b/>
                <w:szCs w:val="21"/>
                <w:lang w:val="en-US" w:eastAsia="zh-CN"/>
              </w:rPr>
            </w:pPr>
            <w:r>
              <w:rPr>
                <w:rFonts w:hint="eastAsia" w:ascii="黑体" w:hAnsi="黑体" w:eastAsia="黑体"/>
                <w:b/>
                <w:szCs w:val="21"/>
                <w:lang w:val="en-US" w:eastAsia="zh-CN"/>
              </w:rPr>
              <w:t>主要控制措施：</w:t>
            </w:r>
          </w:p>
          <w:p>
            <w:pPr>
              <w:autoSpaceDE w:val="0"/>
              <w:autoSpaceDN w:val="0"/>
              <w:adjustRightInd w:val="0"/>
              <w:ind w:firstLine="420" w:firstLineChars="200"/>
              <w:jc w:val="left"/>
              <w:rPr>
                <w:szCs w:val="21"/>
              </w:rPr>
            </w:pPr>
            <w:r>
              <w:rPr>
                <w:szCs w:val="21"/>
              </w:rPr>
              <w:t>加强电网规划、建设是形成竟争力的墓础工作</w:t>
            </w:r>
            <w:r>
              <w:rPr>
                <w:rFonts w:hint="eastAsia"/>
                <w:szCs w:val="21"/>
              </w:rPr>
              <w:t>。</w:t>
            </w:r>
            <w:r>
              <w:rPr>
                <w:szCs w:val="21"/>
              </w:rPr>
              <w:t>一个安全可靠运转灵活的电网是电网企业的根本，是电力市场的载体，是优质服务的物质条件，也是电风企业必须时时刻刻加强的重要核心竞争力</w:t>
            </w:r>
            <w:r>
              <w:rPr>
                <w:rFonts w:hint="eastAsia"/>
                <w:szCs w:val="21"/>
              </w:rPr>
              <w:t>，</w:t>
            </w:r>
            <w:r>
              <w:rPr>
                <w:szCs w:val="21"/>
              </w:rPr>
              <w:t>规划和建设好电网是最基础性工作。</w:t>
            </w:r>
            <w:r>
              <w:rPr>
                <w:rFonts w:hint="eastAsia"/>
                <w:szCs w:val="21"/>
              </w:rPr>
              <w:t>加强电力发展规划的管理除了不断完善解决实际问题的能力，更主要的是不断创新电力发展规划的管理理念，用理念推进制度的创新，从而提高规划与现实之间的有效衔接，例如通过完善“政府主导、多方参与、民主决策”的规划编制机制，及时推进规划前期研究工作的顺利开展，提高规划的科学性、民主性、公开性，保证规划与社会主义经济发展规划之间的协调统一</w:t>
            </w:r>
            <w:r>
              <w:rPr>
                <w:rFonts w:hint="eastAsia"/>
                <w:szCs w:val="21"/>
                <w:vertAlign w:val="superscript"/>
              </w:rPr>
              <w:t>[9]</w:t>
            </w:r>
            <w:r>
              <w:rPr>
                <w:rFonts w:hint="eastAsia"/>
                <w:szCs w:val="21"/>
              </w:rPr>
              <w:t>。</w:t>
            </w:r>
          </w:p>
          <w:p>
            <w:pPr>
              <w:ind w:firstLine="420" w:firstLineChars="200"/>
              <w:rPr>
                <w:szCs w:val="21"/>
              </w:rPr>
            </w:pPr>
            <w:r>
              <w:rPr>
                <w:szCs w:val="21"/>
              </w:rPr>
              <w:t>市场营销与优质服务是电网企业的根本宗旨</w:t>
            </w:r>
            <w:r>
              <w:rPr>
                <w:rFonts w:hint="eastAsia"/>
                <w:szCs w:val="21"/>
              </w:rPr>
              <w:t>。</w:t>
            </w:r>
            <w:r>
              <w:rPr>
                <w:szCs w:val="21"/>
              </w:rPr>
              <w:t>厂网分开后，电网企业的主营业务是以电网为基础，为发电企业和电力用户提供服务。在输配分开之前，市场营销也是电网企业的主要业务。因此，为企业，为社会，为公众提供优质服务，既是社会的普遍要求，也是电网企业的根本宗旨。电网安全稳定运行是形成竞争力的基本条件</w:t>
            </w:r>
            <w:r>
              <w:rPr>
                <w:rFonts w:hint="eastAsia"/>
                <w:szCs w:val="21"/>
              </w:rPr>
              <w:t>。</w:t>
            </w:r>
            <w:r>
              <w:rPr>
                <w:szCs w:val="21"/>
              </w:rPr>
              <w:t>一个不能安全稳定运行的电网是无法进行正常电力市场运营的。大电网事故是国民经济的灾难，社会的灾难。电网必须安全稳定运行，这是电力生产特点所决定的，不以人的意志为转移的客观现实。因此，无论如何改革，市场机制如何建立，其前提条件必须是保证电网安全稳定运行。电网企业必须把保证电网安全作为第一要务。转变旧观念是形成竞争力的关键因素</w:t>
            </w:r>
            <w:r>
              <w:rPr>
                <w:rFonts w:hint="eastAsia"/>
                <w:szCs w:val="21"/>
              </w:rPr>
              <w:t>。</w:t>
            </w:r>
            <w:r>
              <w:rPr>
                <w:szCs w:val="21"/>
              </w:rPr>
              <w:t>长期以来电力工业垂直一体化管理模式使员工队伍形成了观念定式。电力体制改革后，由于电力生产链条的分开，整个生产经营机制发生了根本的转变，这要求电力企业特别是电网企业员工必须转变观念，主动研究和不断适应电力体制改革的新形势。调整和改善企业内部结构是形成竞争力的重要内容</w:t>
            </w:r>
            <w:r>
              <w:rPr>
                <w:rFonts w:hint="eastAsia"/>
                <w:szCs w:val="21"/>
              </w:rPr>
              <w:t>。</w:t>
            </w:r>
            <w:r>
              <w:rPr>
                <w:szCs w:val="21"/>
              </w:rPr>
              <w:t>原来的电力公司内部机构是按照垂直一体化管理模式设置的，厂网分开后，电网公司内部结构必须按照新的业务变化进行调整和根据电力体制改革进程不断改善。重点要强化电力市场营销与优质服务业务，强化电网规草建设与安全管理，强化价值链的关键环节和企业资源的整合，强化企业文化建设。</w:t>
            </w:r>
          </w:p>
          <w:p>
            <w:pPr>
              <w:ind w:firstLine="420" w:firstLineChars="200"/>
              <w:rPr>
                <w:szCs w:val="21"/>
              </w:rPr>
            </w:pPr>
            <w:r>
              <w:rPr>
                <w:rFonts w:hint="eastAsia"/>
                <w:szCs w:val="21"/>
              </w:rPr>
              <w:t>当前，中国经济社会以及电力行业正处在一个重要的改革转型期。电力行业、企业的内外部环境发生了深刻的变化</w:t>
            </w:r>
            <w:r>
              <w:rPr>
                <w:szCs w:val="21"/>
              </w:rPr>
              <w:t xml:space="preserve">, </w:t>
            </w:r>
            <w:r>
              <w:rPr>
                <w:rFonts w:hint="eastAsia"/>
                <w:szCs w:val="21"/>
              </w:rPr>
              <w:t>无论是企业的愿景目标、战略规划、组织形式、技术装备</w:t>
            </w:r>
            <w:r>
              <w:rPr>
                <w:szCs w:val="21"/>
              </w:rPr>
              <w:t xml:space="preserve">, </w:t>
            </w:r>
            <w:r>
              <w:rPr>
                <w:rFonts w:hint="eastAsia"/>
                <w:szCs w:val="21"/>
              </w:rPr>
              <w:t>还是员工的价值理念、知识背景、思想意识、利益诉求等等</w:t>
            </w:r>
            <w:r>
              <w:rPr>
                <w:szCs w:val="21"/>
              </w:rPr>
              <w:t xml:space="preserve">, </w:t>
            </w:r>
            <w:r>
              <w:rPr>
                <w:rFonts w:hint="eastAsia"/>
                <w:szCs w:val="21"/>
              </w:rPr>
              <w:t>都与以往有了显著的不同</w:t>
            </w:r>
            <w:r>
              <w:rPr>
                <w:rFonts w:hint="eastAsia"/>
                <w:szCs w:val="21"/>
                <w:vertAlign w:val="superscript"/>
              </w:rPr>
              <w:t>[10]</w:t>
            </w:r>
            <w:r>
              <w:rPr>
                <w:rFonts w:hint="eastAsia"/>
                <w:szCs w:val="21"/>
              </w:rPr>
              <w:t>。</w:t>
            </w:r>
            <w:r>
              <w:rPr>
                <w:szCs w:val="21"/>
              </w:rPr>
              <w:t>构造企业文化，建立新的经营理念是形成竞争力的核心支撑</w:t>
            </w:r>
            <w:r>
              <w:rPr>
                <w:rFonts w:hint="eastAsia"/>
                <w:szCs w:val="21"/>
              </w:rPr>
              <w:t>。</w:t>
            </w:r>
            <w:r>
              <w:rPr>
                <w:szCs w:val="21"/>
              </w:rPr>
              <w:t>企业理念是个复合概念，它是由一组各具特点但又互相联系相互作用的概念组成。企业理念包括企业价值观、企业精神、企业道德、企业经营理念、企业哲学、企业目标等等。企业价值观是企业全体员工一致的价值取向。企业的价值观决定着企业的发展方向，影响着员工的行为取向，并为员工提供强大的精神支柱。企业坐标观给员工以神圣感与使命感，鼓舞着员工为实现崇高的信念、宏伟的目标而奋斗。企业价值观是企业理念的核心内容，企业理念的其他内容都以它为基础展开。企业理念从企业文化角度讲，属于企业文化最核心部分，是最能体现企业的个性、促使并保持企业正常运作及长远发展而构建的反映整个企业明确的经营意识的价值观体系。</w:t>
            </w:r>
          </w:p>
          <w:p>
            <w:pPr>
              <w:tabs>
                <w:tab w:val="left" w:pos="9145"/>
              </w:tabs>
              <w:rPr>
                <w:rFonts w:hint="eastAsia"/>
                <w:lang w:val="de-DE" w:eastAsia="zh-CN"/>
              </w:rPr>
            </w:pPr>
          </w:p>
          <w:p>
            <w:pPr>
              <w:spacing w:line="360" w:lineRule="auto"/>
              <w:rPr>
                <w:rFonts w:hint="eastAsia" w:ascii="黑体" w:hAnsi="黑体" w:eastAsia="黑体"/>
                <w:b/>
                <w:szCs w:val="21"/>
                <w:lang w:val="en-US" w:eastAsia="zh-CN"/>
              </w:rPr>
            </w:pPr>
            <w:r>
              <w:rPr>
                <w:rFonts w:hint="eastAsia" w:ascii="黑体" w:hAnsi="黑体" w:eastAsia="黑体"/>
                <w:b/>
                <w:szCs w:val="21"/>
                <w:lang w:val="en-US" w:eastAsia="zh-CN"/>
              </w:rPr>
              <w:t>主要相关方有：</w:t>
            </w:r>
          </w:p>
          <w:p>
            <w:pPr>
              <w:tabs>
                <w:tab w:val="left" w:pos="9145"/>
              </w:tabs>
              <w:rPr>
                <w:rFonts w:hint="default" w:eastAsia="宋体"/>
                <w:lang w:val="en-US" w:eastAsia="zh-CN"/>
              </w:rPr>
            </w:pPr>
            <w:r>
              <w:rPr>
                <w:rFonts w:hint="eastAsia"/>
                <w:lang w:val="en-US" w:eastAsia="zh-CN"/>
              </w:rPr>
              <w:t>政府部门、用电客户、银行、施工单位、企业员工等。</w:t>
            </w:r>
            <w:r>
              <w:rPr>
                <w:rFonts w:hint="eastAsia"/>
                <w:lang w:val="de-DE" w:eastAsia="zh-CN"/>
              </w:rPr>
              <w:tab/>
            </w:r>
          </w:p>
        </w:tc>
        <w:tc>
          <w:tcPr>
            <w:tcW w:w="993" w:type="dxa"/>
          </w:tcPr>
          <w:p/>
          <w:p/>
          <w:p/>
          <w:p/>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r>
              <w:rPr>
                <w:rFonts w:hint="eastAsia" w:ascii="宋体" w:hAnsi="宋体" w:cs="CIDFont+F2"/>
                <w:bCs/>
                <w:kern w:val="0"/>
                <w:szCs w:val="21"/>
              </w:rPr>
              <w:t>3</w:t>
            </w:r>
            <w:r>
              <w:rPr>
                <w:rFonts w:hint="eastAsia" w:ascii="宋体" w:hAnsi="宋体" w:cs="CIDFont+F5"/>
                <w:bCs/>
                <w:kern w:val="0"/>
                <w:szCs w:val="21"/>
              </w:rPr>
              <w:t>、过程策划实施情况，确认特殊过程和关键过程识别的充分性、合理性；</w:t>
            </w:r>
          </w:p>
        </w:tc>
        <w:tc>
          <w:tcPr>
            <w:tcW w:w="960" w:type="dxa"/>
          </w:tcPr>
          <w:p/>
        </w:tc>
        <w:tc>
          <w:tcPr>
            <w:tcW w:w="10596" w:type="dxa"/>
          </w:tcPr>
          <w:p>
            <w:pPr>
              <w:rPr>
                <w:rFonts w:hint="eastAsia" w:ascii="宋体"/>
                <w:spacing w:val="20"/>
                <w:szCs w:val="21"/>
                <w:lang w:val="en-US" w:eastAsia="zh-CN"/>
              </w:rPr>
            </w:pPr>
            <w:r>
              <w:rPr>
                <w:rFonts w:hint="eastAsia" w:ascii="宋体"/>
                <w:spacing w:val="20"/>
                <w:szCs w:val="21"/>
                <w:lang w:val="en-US" w:eastAsia="zh-CN"/>
              </w:rPr>
              <w:t>管理体系策划各个过程都已经实施，</w:t>
            </w:r>
          </w:p>
          <w:p>
            <w:pPr>
              <w:rPr>
                <w:rFonts w:hint="eastAsia"/>
                <w:b w:val="0"/>
                <w:bCs/>
                <w:sz w:val="20"/>
                <w:szCs w:val="22"/>
                <w:lang w:val="en-US" w:eastAsia="zh-CN"/>
              </w:rPr>
            </w:pPr>
            <w:r>
              <w:rPr>
                <w:rFonts w:hint="eastAsia"/>
                <w:b w:val="0"/>
                <w:bCs/>
                <w:sz w:val="20"/>
                <w:szCs w:val="22"/>
              </w:rPr>
              <w:t>需确认过程：无</w:t>
            </w:r>
            <w:r>
              <w:rPr>
                <w:rFonts w:hint="eastAsia"/>
                <w:b w:val="0"/>
                <w:bCs/>
                <w:sz w:val="20"/>
                <w:szCs w:val="22"/>
                <w:lang w:eastAsia="zh-CN"/>
              </w:rPr>
              <w:t>；</w:t>
            </w:r>
            <w:r>
              <w:rPr>
                <w:rFonts w:hint="eastAsia"/>
                <w:b w:val="0"/>
                <w:bCs/>
                <w:sz w:val="20"/>
                <w:szCs w:val="22"/>
                <w:lang w:val="en-US" w:eastAsia="zh-CN"/>
              </w:rPr>
              <w:t>关键过程：汽机运行过程。</w:t>
            </w:r>
          </w:p>
          <w:p>
            <w:pPr>
              <w:rPr>
                <w:rFonts w:hint="default"/>
                <w:b w:val="0"/>
                <w:bCs/>
                <w:sz w:val="20"/>
                <w:szCs w:val="22"/>
                <w:lang w:val="en-US" w:eastAsia="zh-CN"/>
              </w:rPr>
            </w:pPr>
            <w:r>
              <w:rPr>
                <w:rFonts w:hint="eastAsia"/>
                <w:b w:val="0"/>
                <w:bCs/>
                <w:sz w:val="20"/>
                <w:szCs w:val="22"/>
                <w:lang w:val="en-US" w:eastAsia="zh-CN"/>
              </w:rPr>
              <w:t>特殊过程喝关键过程识别充分、合理。</w:t>
            </w:r>
          </w:p>
        </w:tc>
        <w:tc>
          <w:tcPr>
            <w:tcW w:w="993" w:type="dxa"/>
          </w:tcPr>
          <w:p/>
          <w:p/>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2160" w:type="dxa"/>
          </w:tcPr>
          <w:p>
            <w:pPr>
              <w:autoSpaceDE w:val="0"/>
              <w:autoSpaceDN w:val="0"/>
              <w:adjustRightInd w:val="0"/>
              <w:rPr>
                <w:rFonts w:hint="eastAsia" w:ascii="宋体" w:hAnsi="宋体" w:cs="CIDFont+F2"/>
                <w:bCs/>
                <w:kern w:val="0"/>
                <w:szCs w:val="21"/>
              </w:rPr>
            </w:pPr>
          </w:p>
          <w:p>
            <w:pPr>
              <w:autoSpaceDE w:val="0"/>
              <w:autoSpaceDN w:val="0"/>
              <w:adjustRightInd w:val="0"/>
              <w:rPr>
                <w:rFonts w:hint="eastAsia" w:ascii="宋体" w:hAnsi="宋体" w:cs="CIDFont+F2"/>
                <w:bCs/>
                <w:kern w:val="0"/>
                <w:szCs w:val="21"/>
              </w:rPr>
            </w:pPr>
            <w:r>
              <w:rPr>
                <w:rFonts w:hint="eastAsia" w:ascii="宋体" w:hAnsi="宋体" w:cs="CIDFont+F2"/>
                <w:bCs/>
                <w:kern w:val="0"/>
                <w:szCs w:val="21"/>
              </w:rPr>
              <w:t>4、了解作业文件、记录的策划情况；</w:t>
            </w:r>
          </w:p>
        </w:tc>
        <w:tc>
          <w:tcPr>
            <w:tcW w:w="960" w:type="dxa"/>
          </w:tcPr>
          <w:p>
            <w:pPr>
              <w:autoSpaceDE w:val="0"/>
              <w:autoSpaceDN w:val="0"/>
              <w:adjustRightInd w:val="0"/>
              <w:rPr>
                <w:rFonts w:hint="eastAsia" w:ascii="宋体" w:hAnsi="宋体" w:cs="CIDFont+F2"/>
                <w:bCs/>
                <w:kern w:val="0"/>
                <w:szCs w:val="21"/>
              </w:rPr>
            </w:pPr>
          </w:p>
        </w:tc>
        <w:tc>
          <w:tcPr>
            <w:tcW w:w="10596" w:type="dxa"/>
          </w:tcPr>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现场查看组织</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文件管理情况，通过纸张、电子版形式文件化，文件名称、编号、内容等字迹清晰，标识易于识别、检索、可追溯，纸质文件存放在文件柜中，防水防潮，储存环境适宜。</w:t>
            </w:r>
          </w:p>
          <w:p>
            <w:pPr>
              <w:spacing w:line="360" w:lineRule="auto"/>
              <w:ind w:firstLine="420" w:firstLineChars="200"/>
              <w:rPr>
                <w:rFonts w:hint="eastAsia" w:ascii="宋体" w:hAnsi="宋体" w:cs="CIDFont+F2"/>
                <w:bCs/>
                <w:kern w:val="0"/>
                <w:szCs w:val="21"/>
                <w:lang w:val="de-DE"/>
              </w:rPr>
            </w:pPr>
            <w:r>
              <w:rPr>
                <w:rFonts w:hint="eastAsia" w:asciiTheme="minorEastAsia" w:hAnsiTheme="minorEastAsia" w:eastAsiaTheme="minorEastAsia" w:cstheme="minorEastAsia"/>
                <w:sz w:val="21"/>
                <w:szCs w:val="21"/>
              </w:rPr>
              <w:t>查到了《记录清单》</w:t>
            </w:r>
            <w:r>
              <w:rPr>
                <w:rFonts w:hint="eastAsia" w:asciiTheme="minorEastAsia" w:hAnsiTheme="minorEastAsia" w:eastAsiaTheme="minorEastAsia" w:cstheme="minorEastAsia"/>
                <w:sz w:val="21"/>
                <w:szCs w:val="21"/>
                <w:lang w:val="en-US" w:eastAsia="zh-CN"/>
              </w:rPr>
              <w:t>共计77个</w:t>
            </w:r>
            <w:r>
              <w:rPr>
                <w:rFonts w:hint="eastAsia" w:asciiTheme="minorEastAsia" w:hAnsiTheme="minorEastAsia" w:eastAsiaTheme="minorEastAsia" w:cstheme="minorEastAsia"/>
                <w:sz w:val="21"/>
                <w:szCs w:val="21"/>
              </w:rPr>
              <w:t>，记录设置符合公司实施运行要求，基本包含了体系要求的相关记录；《记录清单》，内容清晰，规定了记录的名称、编号、保存期限等信息。 记录以名称、编号进行唯一性标识。</w:t>
            </w:r>
          </w:p>
        </w:tc>
        <w:tc>
          <w:tcPr>
            <w:tcW w:w="993" w:type="dxa"/>
          </w:tcPr>
          <w:p>
            <w:pPr>
              <w:autoSpaceDE w:val="0"/>
              <w:autoSpaceDN w:val="0"/>
              <w:adjustRightInd w:val="0"/>
              <w:rPr>
                <w:rFonts w:hint="eastAsia" w:ascii="宋体" w:hAnsi="宋体" w:cs="CIDFont+F2"/>
                <w:bCs/>
                <w:kern w:val="0"/>
                <w:szCs w:val="21"/>
              </w:rPr>
            </w:pPr>
          </w:p>
          <w:p>
            <w:pPr>
              <w:autoSpaceDE w:val="0"/>
              <w:autoSpaceDN w:val="0"/>
              <w:adjustRightInd w:val="0"/>
              <w:rPr>
                <w:rFonts w:hint="eastAsia" w:ascii="宋体" w:hAnsi="宋体" w:cs="CIDFont+F2"/>
                <w:bCs/>
                <w:kern w:val="0"/>
                <w:szCs w:val="21"/>
              </w:rPr>
            </w:pPr>
          </w:p>
          <w:p>
            <w:pPr>
              <w:autoSpaceDE w:val="0"/>
              <w:autoSpaceDN w:val="0"/>
              <w:adjustRightInd w:val="0"/>
              <w:rPr>
                <w:rFonts w:hint="eastAsia" w:ascii="宋体" w:hAnsi="宋体" w:eastAsia="宋体" w:cs="CIDFont+F2"/>
                <w:bCs/>
                <w:kern w:val="0"/>
                <w:szCs w:val="21"/>
                <w:lang w:val="en-US" w:eastAsia="zh-CN"/>
              </w:rPr>
            </w:pPr>
            <w:r>
              <w:rPr>
                <w:rFonts w:hint="eastAsia" w:ascii="宋体" w:hAnsi="宋体" w:cs="CIDFont+F2"/>
                <w:bCs/>
                <w:kern w:val="0"/>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2160" w:type="dxa"/>
          </w:tcPr>
          <w:p>
            <w:pPr>
              <w:autoSpaceDE w:val="0"/>
              <w:autoSpaceDN w:val="0"/>
              <w:adjustRightInd w:val="0"/>
              <w:rPr>
                <w:rFonts w:hint="eastAsia" w:ascii="宋体" w:hAnsi="宋体" w:cs="CIDFont+F2"/>
                <w:bCs/>
                <w:kern w:val="0"/>
                <w:szCs w:val="21"/>
              </w:rPr>
            </w:pPr>
            <w:r>
              <w:rPr>
                <w:rFonts w:hint="eastAsia" w:ascii="宋体" w:hAnsi="宋体" w:cs="CIDFont+F2"/>
                <w:bCs/>
                <w:kern w:val="0"/>
                <w:szCs w:val="21"/>
              </w:rPr>
              <w:t>5、确认是否有外包过程、分场所及其人员情况等；</w:t>
            </w:r>
          </w:p>
        </w:tc>
        <w:tc>
          <w:tcPr>
            <w:tcW w:w="960" w:type="dxa"/>
          </w:tcPr>
          <w:p>
            <w:pPr>
              <w:autoSpaceDE w:val="0"/>
              <w:autoSpaceDN w:val="0"/>
              <w:adjustRightInd w:val="0"/>
              <w:rPr>
                <w:rFonts w:hint="eastAsia" w:ascii="宋体" w:hAnsi="宋体" w:cs="CIDFont+F2"/>
                <w:bCs/>
                <w:kern w:val="0"/>
                <w:szCs w:val="21"/>
              </w:rPr>
            </w:pPr>
          </w:p>
        </w:tc>
        <w:tc>
          <w:tcPr>
            <w:tcW w:w="10596" w:type="dxa"/>
          </w:tcPr>
          <w:p>
            <w:pPr>
              <w:autoSpaceDE w:val="0"/>
              <w:autoSpaceDN w:val="0"/>
              <w:adjustRightInd w:val="0"/>
              <w:rPr>
                <w:rFonts w:hint="default" w:ascii="宋体" w:hAnsi="宋体" w:eastAsia="宋体" w:cs="CIDFont+F2"/>
                <w:bCs/>
                <w:kern w:val="0"/>
                <w:szCs w:val="21"/>
                <w:lang w:val="en-US" w:eastAsia="zh-CN"/>
              </w:rPr>
            </w:pPr>
            <w:r>
              <w:rPr>
                <w:rFonts w:hint="eastAsia" w:ascii="宋体" w:hAnsi="宋体" w:cs="CIDFont+F2"/>
                <w:bCs/>
                <w:kern w:val="0"/>
                <w:szCs w:val="21"/>
                <w:lang w:val="en-US" w:eastAsia="zh-CN"/>
              </w:rPr>
              <w:t>经询查，没有外包过程。</w:t>
            </w:r>
          </w:p>
        </w:tc>
        <w:tc>
          <w:tcPr>
            <w:tcW w:w="993" w:type="dxa"/>
          </w:tcPr>
          <w:p>
            <w:pPr>
              <w:autoSpaceDE w:val="0"/>
              <w:autoSpaceDN w:val="0"/>
              <w:adjustRightInd w:val="0"/>
              <w:rPr>
                <w:rFonts w:hint="eastAsia" w:ascii="宋体" w:hAnsi="宋体" w:cs="CIDFont+F2"/>
                <w:bCs/>
                <w:kern w:val="0"/>
                <w:szCs w:val="21"/>
              </w:rPr>
            </w:pPr>
          </w:p>
          <w:p>
            <w:pPr>
              <w:autoSpaceDE w:val="0"/>
              <w:autoSpaceDN w:val="0"/>
              <w:adjustRightInd w:val="0"/>
              <w:rPr>
                <w:rFonts w:hint="eastAsia" w:ascii="宋体" w:hAnsi="宋体" w:eastAsia="宋体" w:cs="CIDFont+F2"/>
                <w:bCs/>
                <w:kern w:val="0"/>
                <w:szCs w:val="21"/>
                <w:lang w:val="en-US" w:eastAsia="zh-CN"/>
              </w:rPr>
            </w:pPr>
            <w:r>
              <w:rPr>
                <w:rFonts w:hint="eastAsia" w:ascii="宋体" w:hAnsi="宋体" w:cs="CIDFont+F2"/>
                <w:bCs/>
                <w:kern w:val="0"/>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2160" w:type="dxa"/>
          </w:tcPr>
          <w:p>
            <w:pPr>
              <w:autoSpaceDE w:val="0"/>
              <w:autoSpaceDN w:val="0"/>
              <w:adjustRightInd w:val="0"/>
              <w:rPr>
                <w:rFonts w:hint="eastAsia" w:ascii="宋体" w:hAnsi="宋体" w:cs="CIDFont+F2"/>
                <w:bCs/>
                <w:kern w:val="0"/>
                <w:szCs w:val="21"/>
              </w:rPr>
            </w:pPr>
            <w:r>
              <w:rPr>
                <w:rFonts w:hint="eastAsia" w:ascii="宋体" w:hAnsi="宋体" w:cs="CIDFont+F2"/>
                <w:bCs/>
                <w:kern w:val="0"/>
                <w:szCs w:val="21"/>
              </w:rPr>
              <w:t>6</w:t>
            </w:r>
            <w:r>
              <w:rPr>
                <w:rFonts w:hint="eastAsia" w:ascii="宋体" w:hAnsi="宋体" w:cs="CIDFont+F5"/>
                <w:bCs/>
                <w:kern w:val="0"/>
                <w:szCs w:val="21"/>
              </w:rPr>
              <w:t>、监视和测量装置的配置及定期检定情况；</w:t>
            </w:r>
          </w:p>
        </w:tc>
        <w:tc>
          <w:tcPr>
            <w:tcW w:w="960" w:type="dxa"/>
          </w:tcPr>
          <w:p/>
        </w:tc>
        <w:tc>
          <w:tcPr>
            <w:tcW w:w="10596" w:type="dxa"/>
          </w:tcPr>
          <w:p>
            <w:pPr>
              <w:rPr>
                <w:rFonts w:hint="eastAsia" w:ascii="宋体" w:hAnsi="宋体" w:cs="CIDFont+F5"/>
                <w:bCs/>
                <w:kern w:val="0"/>
                <w:szCs w:val="21"/>
                <w:lang w:val="en-US" w:eastAsia="zh-CN"/>
              </w:rPr>
            </w:pPr>
            <w:r>
              <w:rPr>
                <w:rFonts w:hint="eastAsia" w:ascii="宋体" w:hAnsi="宋体" w:cs="CIDFont+F5"/>
                <w:bCs/>
                <w:kern w:val="0"/>
                <w:szCs w:val="21"/>
              </w:rPr>
              <w:t>监视和测量装置的配置</w:t>
            </w:r>
            <w:r>
              <w:rPr>
                <w:rFonts w:hint="eastAsia" w:ascii="宋体" w:hAnsi="宋体" w:cs="CIDFont+F5"/>
                <w:bCs/>
                <w:kern w:val="0"/>
                <w:szCs w:val="21"/>
                <w:lang w:val="en-US" w:eastAsia="zh-CN"/>
              </w:rPr>
              <w:t>满足要求，</w:t>
            </w:r>
          </w:p>
          <w:p>
            <w:pPr>
              <w:rPr>
                <w:rFonts w:hint="default" w:ascii="宋体" w:eastAsia="宋体"/>
                <w:spacing w:val="20"/>
                <w:szCs w:val="21"/>
                <w:lang w:val="en-US" w:eastAsia="zh-CN"/>
              </w:rPr>
            </w:pPr>
            <w:r>
              <w:rPr>
                <w:rFonts w:hint="eastAsia" w:ascii="宋体" w:hAnsi="宋体" w:cs="CIDFont+F5"/>
                <w:bCs/>
                <w:kern w:val="0"/>
                <w:szCs w:val="21"/>
              </w:rPr>
              <w:t>定期检定情况</w:t>
            </w:r>
            <w:r>
              <w:rPr>
                <w:rFonts w:hint="eastAsia" w:ascii="宋体" w:hAnsi="宋体" w:cs="CIDFont+F5"/>
                <w:bCs/>
                <w:kern w:val="0"/>
                <w:szCs w:val="21"/>
                <w:lang w:eastAsia="zh-CN"/>
              </w:rPr>
              <w:t>：</w:t>
            </w:r>
            <w:r>
              <w:rPr>
                <w:rFonts w:hint="eastAsia" w:ascii="宋体" w:hAnsi="宋体" w:cs="CIDFont+F5"/>
                <w:bCs/>
                <w:kern w:val="0"/>
                <w:szCs w:val="21"/>
                <w:lang w:val="en-US" w:eastAsia="zh-CN"/>
              </w:rPr>
              <w:t>公司已经提请校检要求，还没有进行校检。</w:t>
            </w:r>
          </w:p>
        </w:tc>
        <w:tc>
          <w:tcPr>
            <w:tcW w:w="993" w:type="dxa"/>
          </w:tcPr>
          <w:p/>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utoSpaceDE w:val="0"/>
              <w:autoSpaceDN w:val="0"/>
              <w:adjustRightInd w:val="0"/>
              <w:rPr>
                <w:rFonts w:hint="eastAsia" w:ascii="宋体" w:hAnsi="宋体" w:cs="CIDFont+F2"/>
                <w:bCs/>
                <w:kern w:val="0"/>
                <w:szCs w:val="21"/>
              </w:rPr>
            </w:pPr>
            <w:r>
              <w:rPr>
                <w:rFonts w:hint="eastAsia" w:ascii="宋体" w:hAnsi="宋体" w:cs="CIDFont+F2"/>
                <w:bCs/>
                <w:kern w:val="0"/>
                <w:szCs w:val="21"/>
              </w:rPr>
              <w:t>7、对适用的标准及法律法规要求的识别收集情况；是否进行了合规性评价；</w:t>
            </w:r>
          </w:p>
        </w:tc>
        <w:tc>
          <w:tcPr>
            <w:tcW w:w="960" w:type="dxa"/>
          </w:tcPr>
          <w:p>
            <w:pPr>
              <w:autoSpaceDE w:val="0"/>
              <w:autoSpaceDN w:val="0"/>
              <w:adjustRightInd w:val="0"/>
              <w:rPr>
                <w:rFonts w:hint="eastAsia" w:ascii="宋体" w:hAnsi="宋体" w:cs="CIDFont+F2"/>
                <w:bCs/>
                <w:kern w:val="0"/>
                <w:szCs w:val="21"/>
              </w:rPr>
            </w:pPr>
          </w:p>
        </w:tc>
        <w:tc>
          <w:tcPr>
            <w:tcW w:w="10596" w:type="dxa"/>
          </w:tcPr>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公司对外来文件及法律法规进行了收集、识别、分发、控制。外来文件采用了统一保管、借阅使用的方法进行控制。由</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负责通过到主管部门、网上收集、标准发布部门进行购买，并对外来文件的识别、跟踪、控制。查到：《外来文件一览表》、《法律法规清单》，有：《中华人民共和国产品质量法》、《</w:t>
            </w:r>
            <w:r>
              <w:rPr>
                <w:rFonts w:hint="eastAsia" w:ascii="宋体" w:hAnsi="宋体" w:cs="宋体"/>
                <w:szCs w:val="21"/>
              </w:rPr>
              <w:t>电力行业标准化管理办法</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《中华人民共和国环境保护法》、《中华人民共和国安全生产法》、《</w:t>
            </w:r>
            <w:r>
              <w:rPr>
                <w:rFonts w:hint="eastAsia" w:ascii="宋体" w:hAnsi="宋体" w:cs="宋体"/>
                <w:szCs w:val="21"/>
              </w:rPr>
              <w:t>电力工程基本建设预算管理制度及规定</w:t>
            </w:r>
            <w:r>
              <w:rPr>
                <w:rFonts w:hint="eastAsia" w:asciiTheme="minorEastAsia" w:hAnsiTheme="minorEastAsia" w:eastAsiaTheme="minorEastAsia" w:cstheme="minorEastAsia"/>
                <w:sz w:val="21"/>
                <w:szCs w:val="21"/>
              </w:rPr>
              <w:t>》等法律法规和执行标准，外来文件管理符合要求。</w:t>
            </w:r>
          </w:p>
          <w:p>
            <w:pPr>
              <w:autoSpaceDE w:val="0"/>
              <w:autoSpaceDN w:val="0"/>
              <w:adjustRightInd w:val="0"/>
              <w:rPr>
                <w:rFonts w:hint="default" w:ascii="宋体" w:hAnsi="宋体" w:cs="CIDFont+F2"/>
                <w:bCs/>
                <w:kern w:val="0"/>
                <w:szCs w:val="21"/>
                <w:lang w:val="en-US" w:eastAsia="zh-CN"/>
              </w:rPr>
            </w:pPr>
            <w:r>
              <w:rPr>
                <w:rFonts w:hint="eastAsia" w:ascii="宋体" w:hAnsi="宋体" w:cs="CIDFont+F2"/>
                <w:bCs/>
                <w:kern w:val="0"/>
                <w:szCs w:val="21"/>
                <w:lang w:val="en-US" w:eastAsia="zh-CN"/>
              </w:rPr>
              <w:t>并对上述法规进行了评价。</w:t>
            </w:r>
          </w:p>
        </w:tc>
        <w:tc>
          <w:tcPr>
            <w:tcW w:w="993" w:type="dxa"/>
          </w:tcPr>
          <w:p>
            <w:pPr>
              <w:autoSpaceDE w:val="0"/>
              <w:autoSpaceDN w:val="0"/>
              <w:adjustRightInd w:val="0"/>
              <w:rPr>
                <w:rFonts w:hint="eastAsia" w:ascii="宋体" w:hAnsi="宋体" w:cs="CIDFont+F2"/>
                <w:bCs/>
                <w:kern w:val="0"/>
                <w:szCs w:val="21"/>
              </w:rPr>
            </w:pPr>
          </w:p>
          <w:p>
            <w:pPr>
              <w:autoSpaceDE w:val="0"/>
              <w:autoSpaceDN w:val="0"/>
              <w:adjustRightInd w:val="0"/>
              <w:rPr>
                <w:rFonts w:hint="eastAsia" w:ascii="宋体" w:hAnsi="宋体" w:cs="CIDFont+F2"/>
                <w:bCs/>
                <w:kern w:val="0"/>
                <w:szCs w:val="21"/>
              </w:rPr>
            </w:pPr>
          </w:p>
          <w:p>
            <w:pPr>
              <w:autoSpaceDE w:val="0"/>
              <w:autoSpaceDN w:val="0"/>
              <w:adjustRightInd w:val="0"/>
              <w:rPr>
                <w:rFonts w:hint="eastAsia" w:ascii="宋体" w:hAnsi="宋体" w:cs="CIDFont+F2"/>
                <w:bCs/>
                <w:kern w:val="0"/>
                <w:szCs w:val="21"/>
              </w:rPr>
            </w:pPr>
          </w:p>
          <w:p>
            <w:pPr>
              <w:autoSpaceDE w:val="0"/>
              <w:autoSpaceDN w:val="0"/>
              <w:adjustRightInd w:val="0"/>
              <w:rPr>
                <w:rFonts w:hint="eastAsia" w:ascii="宋体" w:hAnsi="宋体" w:eastAsia="宋体" w:cs="CIDFont+F2"/>
                <w:bCs/>
                <w:kern w:val="0"/>
                <w:szCs w:val="21"/>
                <w:lang w:val="en-US" w:eastAsia="zh-CN"/>
              </w:rPr>
            </w:pPr>
            <w:r>
              <w:rPr>
                <w:rFonts w:hint="eastAsia" w:ascii="宋体" w:hAnsi="宋体" w:cs="CIDFont+F2"/>
                <w:bCs/>
                <w:kern w:val="0"/>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utoSpaceDE w:val="0"/>
              <w:autoSpaceDN w:val="0"/>
              <w:adjustRightInd w:val="0"/>
              <w:rPr>
                <w:rFonts w:hint="eastAsia" w:ascii="宋体" w:hAnsi="宋体" w:cs="CIDFont+F2"/>
                <w:bCs/>
                <w:kern w:val="0"/>
                <w:szCs w:val="21"/>
              </w:rPr>
            </w:pPr>
            <w:r>
              <w:rPr>
                <w:rFonts w:hint="eastAsia" w:ascii="宋体" w:hAnsi="宋体" w:cs="CIDFont+F2"/>
                <w:bCs/>
                <w:kern w:val="0"/>
                <w:szCs w:val="21"/>
              </w:rPr>
              <w:t>8、环境因素、危险源的识别、评价及控制措施；</w:t>
            </w:r>
          </w:p>
          <w:p>
            <w:pPr>
              <w:autoSpaceDE w:val="0"/>
              <w:autoSpaceDN w:val="0"/>
              <w:adjustRightInd w:val="0"/>
              <w:rPr>
                <w:rFonts w:hint="eastAsia" w:ascii="宋体" w:hAnsi="宋体" w:cs="CIDFont+F2"/>
                <w:bCs/>
                <w:kern w:val="0"/>
                <w:szCs w:val="21"/>
              </w:rPr>
            </w:pPr>
          </w:p>
        </w:tc>
        <w:tc>
          <w:tcPr>
            <w:tcW w:w="960" w:type="dxa"/>
          </w:tcPr>
          <w:p>
            <w:pPr>
              <w:autoSpaceDE w:val="0"/>
              <w:autoSpaceDN w:val="0"/>
              <w:adjustRightInd w:val="0"/>
              <w:rPr>
                <w:rFonts w:hint="eastAsia" w:ascii="宋体" w:hAnsi="宋体" w:cs="CIDFont+F2"/>
                <w:bCs/>
                <w:kern w:val="0"/>
                <w:szCs w:val="21"/>
              </w:rPr>
            </w:pPr>
          </w:p>
        </w:tc>
        <w:tc>
          <w:tcPr>
            <w:tcW w:w="10596" w:type="dxa"/>
          </w:tcPr>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lang w:eastAsia="zh-CN"/>
              </w:rPr>
              <w:t>综合部</w:t>
            </w:r>
            <w:r>
              <w:rPr>
                <w:rFonts w:hint="eastAsia" w:asciiTheme="minorEastAsia" w:hAnsiTheme="minorEastAsia" w:eastAsiaTheme="minorEastAsia" w:cstheme="minorEastAsia"/>
                <w:bCs/>
                <w:sz w:val="21"/>
                <w:szCs w:val="21"/>
              </w:rPr>
              <w:t>作为环境和职业健康安全管理体系的主控</w:t>
            </w:r>
            <w:r>
              <w:rPr>
                <w:rFonts w:hint="eastAsia" w:asciiTheme="minorEastAsia" w:hAnsiTheme="minorEastAsia" w:eastAsiaTheme="minorEastAsia" w:cstheme="minorEastAsia"/>
                <w:sz w:val="21"/>
                <w:szCs w:val="21"/>
              </w:rPr>
              <w:t>部门，主要负责识别评价相关的环境因素及危险源，查有：《</w:t>
            </w:r>
            <w:r>
              <w:rPr>
                <w:rFonts w:hint="eastAsia"/>
              </w:rPr>
              <w:t>环境因素、危险源识别评价控制程序</w:t>
            </w:r>
            <w:r>
              <w:rPr>
                <w:rFonts w:hint="eastAsia" w:asciiTheme="minorEastAsia" w:hAnsiTheme="minorEastAsia" w:eastAsiaTheme="minorEastAsia" w:cstheme="minorEastAsia"/>
                <w:sz w:val="21"/>
                <w:szCs w:val="21"/>
              </w:rPr>
              <w:t>》。</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查《环境因素调查评价表 》，识别考虑了正常、异常</w:t>
            </w:r>
            <w:r>
              <w:rPr>
                <w:rFonts w:hint="eastAsia" w:asciiTheme="minorEastAsia" w:hAnsiTheme="minorEastAsia" w:eastAsiaTheme="minorEastAsia" w:cstheme="minorEastAsia"/>
                <w:bCs/>
                <w:sz w:val="21"/>
                <w:szCs w:val="21"/>
                <w:lang w:val="en-US" w:eastAsia="zh-CN"/>
              </w:rPr>
              <w:t>情况</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lang w:val="en-US" w:eastAsia="zh-CN"/>
              </w:rPr>
              <w:t>针对</w:t>
            </w:r>
            <w:r>
              <w:rPr>
                <w:rFonts w:hint="eastAsia" w:asciiTheme="minorEastAsia" w:hAnsiTheme="minorEastAsia" w:eastAsiaTheme="minorEastAsia" w:cstheme="minorEastAsia"/>
                <w:bCs/>
                <w:sz w:val="21"/>
                <w:szCs w:val="21"/>
              </w:rPr>
              <w:t>现在</w:t>
            </w:r>
            <w:r>
              <w:rPr>
                <w:rFonts w:hint="eastAsia" w:asciiTheme="minorEastAsia" w:hAnsiTheme="minorEastAsia" w:eastAsiaTheme="minorEastAsia" w:cstheme="minorEastAsia"/>
                <w:bCs/>
                <w:sz w:val="21"/>
                <w:szCs w:val="21"/>
                <w:lang w:val="en-US" w:eastAsia="zh-CN"/>
              </w:rPr>
              <w:t>一</w:t>
            </w:r>
            <w:r>
              <w:rPr>
                <w:rFonts w:hint="eastAsia" w:asciiTheme="minorEastAsia" w:hAnsiTheme="minorEastAsia" w:eastAsiaTheme="minorEastAsia" w:cstheme="minorEastAsia"/>
                <w:bCs/>
                <w:sz w:val="21"/>
                <w:szCs w:val="21"/>
              </w:rPr>
              <w:t>种时态，考虑了供方、客户等可施加影响的环境因素。其中办公主要有水、电、纸张资源及生活固废等，识别时能考虑产品生命周期观点。</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涉及本部门的环境因素有办公活动中生活垃圾排放、汽车维修固废排放、纸张等办公废品排放、墨盒、废旧电池等废品排放、火灾事故发生等。</w:t>
            </w:r>
          </w:p>
          <w:p>
            <w:pPr>
              <w:spacing w:line="360" w:lineRule="auto"/>
              <w:ind w:firstLine="420" w:firstLineChars="200"/>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查《重要环境因素清单》，评价出固体废弃物排放、火灾事故的发生</w:t>
            </w:r>
            <w:r>
              <w:rPr>
                <w:rFonts w:hint="eastAsia" w:asciiTheme="minorEastAsia" w:hAnsiTheme="minorEastAsia" w:eastAsiaTheme="minorEastAsia" w:cstheme="minorEastAsia"/>
                <w:color w:val="FF0000"/>
                <w:sz w:val="21"/>
                <w:szCs w:val="21"/>
                <w:lang w:eastAsia="zh-CN"/>
              </w:rPr>
              <w:t>、</w:t>
            </w:r>
            <w:r>
              <w:rPr>
                <w:rFonts w:hint="eastAsia" w:asciiTheme="minorEastAsia" w:hAnsiTheme="minorEastAsia" w:eastAsiaTheme="minorEastAsia" w:cstheme="minorEastAsia"/>
                <w:color w:val="FF0000"/>
                <w:sz w:val="21"/>
                <w:szCs w:val="21"/>
                <w:lang w:val="en-US" w:eastAsia="zh-CN"/>
              </w:rPr>
              <w:t>烟气排放</w:t>
            </w:r>
            <w:r>
              <w:rPr>
                <w:rFonts w:hint="eastAsia" w:asciiTheme="minorEastAsia" w:hAnsiTheme="minorEastAsia" w:eastAsiaTheme="minorEastAsia" w:cstheme="minorEastAsia"/>
                <w:color w:val="FF0000"/>
                <w:sz w:val="21"/>
                <w:szCs w:val="21"/>
              </w:rPr>
              <w:t>等</w:t>
            </w:r>
            <w:r>
              <w:rPr>
                <w:rFonts w:hint="eastAsia" w:asciiTheme="minorEastAsia" w:hAnsiTheme="minorEastAsia" w:eastAsiaTheme="minorEastAsia" w:cstheme="minorEastAsia"/>
                <w:color w:val="FF0000"/>
                <w:sz w:val="21"/>
                <w:szCs w:val="21"/>
                <w:lang w:val="en-US" w:eastAsia="zh-CN"/>
              </w:rPr>
              <w:t>3</w:t>
            </w:r>
            <w:r>
              <w:rPr>
                <w:rFonts w:hint="eastAsia" w:asciiTheme="minorEastAsia" w:hAnsiTheme="minorEastAsia" w:eastAsiaTheme="minorEastAsia" w:cstheme="minorEastAsia"/>
                <w:color w:val="FF0000"/>
                <w:sz w:val="21"/>
                <w:szCs w:val="21"/>
              </w:rPr>
              <w:t>项重要环境因素。</w:t>
            </w:r>
          </w:p>
          <w:p>
            <w:pPr>
              <w:spacing w:line="360" w:lineRule="auto"/>
              <w:ind w:firstLine="420" w:firstLineChars="200"/>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经评价</w:t>
            </w:r>
            <w:r>
              <w:rPr>
                <w:rFonts w:hint="eastAsia" w:asciiTheme="minorEastAsia" w:hAnsiTheme="minorEastAsia" w:eastAsiaTheme="minorEastAsia" w:cstheme="minorEastAsia"/>
                <w:color w:val="FF0000"/>
                <w:sz w:val="21"/>
                <w:szCs w:val="21"/>
                <w:lang w:val="en-US" w:eastAsia="zh-CN"/>
              </w:rPr>
              <w:t>公司</w:t>
            </w:r>
            <w:r>
              <w:rPr>
                <w:rFonts w:hint="eastAsia" w:asciiTheme="minorEastAsia" w:hAnsiTheme="minorEastAsia" w:eastAsiaTheme="minorEastAsia" w:cstheme="minorEastAsia"/>
                <w:color w:val="FF0000"/>
                <w:sz w:val="21"/>
                <w:szCs w:val="21"/>
              </w:rPr>
              <w:t>的重</w:t>
            </w:r>
            <w:bookmarkStart w:id="2" w:name="_GoBack"/>
            <w:bookmarkEnd w:id="2"/>
            <w:r>
              <w:rPr>
                <w:rFonts w:hint="eastAsia" w:asciiTheme="minorEastAsia" w:hAnsiTheme="minorEastAsia" w:eastAsiaTheme="minorEastAsia" w:cstheme="minorEastAsia"/>
                <w:color w:val="FF0000"/>
                <w:sz w:val="21"/>
                <w:szCs w:val="21"/>
              </w:rPr>
              <w:t>要环境因素为日常办公过程中固体废弃物排放、火灾事故的发生</w:t>
            </w:r>
            <w:r>
              <w:rPr>
                <w:rFonts w:hint="eastAsia" w:asciiTheme="minorEastAsia" w:hAnsiTheme="minorEastAsia" w:eastAsiaTheme="minorEastAsia" w:cstheme="minorEastAsia"/>
                <w:color w:val="FF0000"/>
                <w:sz w:val="21"/>
                <w:szCs w:val="21"/>
                <w:lang w:eastAsia="zh-CN"/>
              </w:rPr>
              <w:t>、</w:t>
            </w:r>
            <w:r>
              <w:rPr>
                <w:rFonts w:hint="eastAsia" w:asciiTheme="minorEastAsia" w:hAnsiTheme="minorEastAsia" w:eastAsiaTheme="minorEastAsia" w:cstheme="minorEastAsia"/>
                <w:color w:val="FF0000"/>
                <w:sz w:val="21"/>
                <w:szCs w:val="21"/>
                <w:lang w:val="en-US" w:eastAsia="zh-CN"/>
              </w:rPr>
              <w:t>烟气排放</w:t>
            </w:r>
            <w:r>
              <w:rPr>
                <w:rFonts w:hint="eastAsia" w:asciiTheme="minorEastAsia" w:hAnsiTheme="minorEastAsia" w:eastAsiaTheme="minorEastAsia" w:cstheme="minorEastAsia"/>
                <w:color w:val="FF0000"/>
                <w:sz w:val="21"/>
                <w:szCs w:val="21"/>
              </w:rPr>
              <w:t>等</w:t>
            </w:r>
            <w:r>
              <w:rPr>
                <w:rFonts w:hint="eastAsia" w:asciiTheme="minorEastAsia" w:hAnsiTheme="minorEastAsia" w:eastAsiaTheme="minorEastAsia" w:cstheme="minorEastAsia"/>
                <w:color w:val="FF0000"/>
                <w:sz w:val="21"/>
                <w:szCs w:val="21"/>
                <w:lang w:val="en-US" w:eastAsia="zh-CN"/>
              </w:rPr>
              <w:t>3</w:t>
            </w:r>
            <w:r>
              <w:rPr>
                <w:rFonts w:hint="eastAsia" w:asciiTheme="minorEastAsia" w:hAnsiTheme="minorEastAsia" w:eastAsiaTheme="minorEastAsia" w:cstheme="minorEastAsia"/>
                <w:color w:val="FF0000"/>
                <w:sz w:val="21"/>
                <w:szCs w:val="21"/>
              </w:rPr>
              <w:t>项重要环境因素。</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控制措施：固废分类存放、办公危废交耗材供应公司，垃圾由环卫部门拉走，包装物分类卖掉，日常检查，日常培训教育，消防配备消防器材</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应急演练</w:t>
            </w:r>
            <w:r>
              <w:rPr>
                <w:rFonts w:hint="eastAsia" w:asciiTheme="minorEastAsia" w:hAnsiTheme="minorEastAsia" w:eastAsiaTheme="minorEastAsia" w:cstheme="minorEastAsia"/>
                <w:sz w:val="21"/>
                <w:szCs w:val="21"/>
              </w:rPr>
              <w:t>等措施。</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查《危险源辩识及风险评价表》，识别办公</w:t>
            </w:r>
            <w:r>
              <w:rPr>
                <w:rFonts w:hint="eastAsia" w:asciiTheme="minorEastAsia" w:hAnsiTheme="minorEastAsia" w:eastAsiaTheme="minorEastAsia" w:cstheme="minorEastAsia"/>
                <w:sz w:val="21"/>
                <w:szCs w:val="21"/>
                <w:lang w:val="en-US" w:eastAsia="zh-CN"/>
              </w:rPr>
              <w:t>等</w:t>
            </w:r>
            <w:r>
              <w:rPr>
                <w:rFonts w:hint="eastAsia" w:asciiTheme="minorEastAsia" w:hAnsiTheme="minorEastAsia" w:eastAsiaTheme="minorEastAsia" w:cstheme="minorEastAsia"/>
                <w:sz w:val="21"/>
                <w:szCs w:val="21"/>
              </w:rPr>
              <w:t>活动过程中的危险源。包括办公等过程中的办公设备使用、办公车辆使用等使用不当导致人身伤害、外来人员安全措施不当造成的火灾和人身伤害，</w:t>
            </w:r>
            <w:r>
              <w:rPr>
                <w:rFonts w:hint="eastAsia" w:asciiTheme="minorEastAsia" w:hAnsiTheme="minorEastAsia" w:eastAsiaTheme="minorEastAsia" w:cstheme="minorEastAsia"/>
                <w:sz w:val="21"/>
                <w:szCs w:val="21"/>
                <w:lang w:val="en-US" w:eastAsia="zh-CN"/>
              </w:rPr>
              <w:t>交通</w:t>
            </w:r>
            <w:r>
              <w:rPr>
                <w:rFonts w:hint="eastAsia" w:asciiTheme="minorEastAsia" w:hAnsiTheme="minorEastAsia" w:eastAsiaTheme="minorEastAsia" w:cstheme="minorEastAsia"/>
                <w:sz w:val="21"/>
                <w:szCs w:val="21"/>
              </w:rPr>
              <w:t>事故等。</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涉及本部门的危险源有办公活动过程中电脑辐射、线路老化</w:t>
            </w:r>
            <w:r>
              <w:rPr>
                <w:rFonts w:hint="eastAsia" w:asciiTheme="minorEastAsia" w:hAnsiTheme="minorEastAsia" w:eastAsiaTheme="minorEastAsia" w:cstheme="minorEastAsia"/>
                <w:sz w:val="21"/>
                <w:szCs w:val="21"/>
                <w:lang w:val="en-US" w:eastAsia="zh-CN"/>
              </w:rPr>
              <w:t>导致火灾或触电</w:t>
            </w:r>
            <w:r>
              <w:rPr>
                <w:rFonts w:hint="eastAsia" w:asciiTheme="minorEastAsia" w:hAnsiTheme="minorEastAsia" w:eastAsiaTheme="minorEastAsia" w:cstheme="minorEastAsia"/>
                <w:sz w:val="21"/>
                <w:szCs w:val="21"/>
              </w:rPr>
              <w:t>，外来人员安全措施不当造成的火灾和人身伤害等。</w:t>
            </w:r>
          </w:p>
          <w:p>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查《不可接受风险清单》，评价出重大危险源</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个，包括：火灾、人员伤害</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疫情伤害</w:t>
            </w:r>
            <w:r>
              <w:rPr>
                <w:rFonts w:hint="eastAsia" w:asciiTheme="minorEastAsia" w:hAnsiTheme="minorEastAsia" w:eastAsiaTheme="minorEastAsia" w:cstheme="minorEastAsia"/>
                <w:sz w:val="21"/>
                <w:szCs w:val="21"/>
              </w:rPr>
              <w:t>等</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制订了相应的管理方案并已实施。</w:t>
            </w:r>
          </w:p>
          <w:p>
            <w:pPr>
              <w:autoSpaceDE w:val="0"/>
              <w:autoSpaceDN w:val="0"/>
              <w:adjustRightInd w:val="0"/>
              <w:rPr>
                <w:rFonts w:hint="eastAsia" w:ascii="宋体" w:hAnsi="宋体" w:cs="CIDFont+F2"/>
                <w:bCs/>
                <w:kern w:val="0"/>
                <w:szCs w:val="21"/>
                <w:lang w:val="de-DE"/>
              </w:rPr>
            </w:pPr>
            <w:r>
              <w:rPr>
                <w:rFonts w:hint="eastAsia" w:asciiTheme="minorEastAsia" w:hAnsiTheme="minorEastAsia" w:eastAsiaTheme="minorEastAsia" w:cstheme="minorEastAsia"/>
                <w:sz w:val="21"/>
                <w:szCs w:val="21"/>
              </w:rPr>
              <w:t>危险源控制执行管理方案、配备消防器材、个体防护、日常检查、日常培训教育等运行控制措施等。</w:t>
            </w:r>
          </w:p>
        </w:tc>
        <w:tc>
          <w:tcPr>
            <w:tcW w:w="993" w:type="dxa"/>
          </w:tcPr>
          <w:p>
            <w:pPr>
              <w:autoSpaceDE w:val="0"/>
              <w:autoSpaceDN w:val="0"/>
              <w:adjustRightInd w:val="0"/>
              <w:rPr>
                <w:rFonts w:hint="eastAsia" w:ascii="宋体" w:hAnsi="宋体" w:cs="CIDFont+F2"/>
                <w:bCs/>
                <w:kern w:val="0"/>
                <w:szCs w:val="21"/>
              </w:rPr>
            </w:pPr>
          </w:p>
          <w:p>
            <w:pPr>
              <w:autoSpaceDE w:val="0"/>
              <w:autoSpaceDN w:val="0"/>
              <w:adjustRightInd w:val="0"/>
              <w:rPr>
                <w:rFonts w:hint="eastAsia" w:ascii="宋体" w:hAnsi="宋体" w:cs="CIDFont+F2"/>
                <w:bCs/>
                <w:kern w:val="0"/>
                <w:szCs w:val="21"/>
              </w:rPr>
            </w:pPr>
          </w:p>
          <w:p>
            <w:pPr>
              <w:autoSpaceDE w:val="0"/>
              <w:autoSpaceDN w:val="0"/>
              <w:adjustRightInd w:val="0"/>
              <w:rPr>
                <w:rFonts w:hint="eastAsia" w:ascii="宋体" w:hAnsi="宋体" w:cs="CIDFont+F2"/>
                <w:bCs/>
                <w:kern w:val="0"/>
                <w:szCs w:val="21"/>
              </w:rPr>
            </w:pPr>
          </w:p>
          <w:p>
            <w:pPr>
              <w:autoSpaceDE w:val="0"/>
              <w:autoSpaceDN w:val="0"/>
              <w:adjustRightInd w:val="0"/>
              <w:rPr>
                <w:rFonts w:hint="default" w:ascii="宋体" w:hAnsi="宋体" w:eastAsia="宋体" w:cs="CIDFont+F2"/>
                <w:bCs/>
                <w:kern w:val="0"/>
                <w:szCs w:val="21"/>
                <w:lang w:val="en-US" w:eastAsia="zh-CN"/>
              </w:rPr>
            </w:pPr>
            <w:r>
              <w:rPr>
                <w:rFonts w:hint="eastAsia" w:ascii="宋体" w:hAnsi="宋体" w:cs="CIDFont+F2"/>
                <w:bCs/>
                <w:kern w:val="0"/>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utoSpaceDE w:val="0"/>
              <w:autoSpaceDN w:val="0"/>
              <w:adjustRightInd w:val="0"/>
              <w:ind w:left="315" w:hanging="315" w:hangingChars="150"/>
              <w:rPr>
                <w:rFonts w:hint="eastAsia" w:ascii="宋体" w:hAnsi="宋体" w:cs="CIDFont+F2"/>
                <w:bCs/>
                <w:kern w:val="0"/>
                <w:szCs w:val="21"/>
              </w:rPr>
            </w:pPr>
            <w:r>
              <w:rPr>
                <w:rFonts w:hint="eastAsia" w:ascii="宋体" w:hAnsi="宋体" w:cs="CIDFont+F2"/>
                <w:bCs/>
                <w:kern w:val="0"/>
                <w:szCs w:val="21"/>
              </w:rPr>
              <w:t>9、生产现场巡视</w:t>
            </w:r>
          </w:p>
        </w:tc>
        <w:tc>
          <w:tcPr>
            <w:tcW w:w="960" w:type="dxa"/>
          </w:tcPr>
          <w:p/>
        </w:tc>
        <w:tc>
          <w:tcPr>
            <w:tcW w:w="10596" w:type="dxa"/>
          </w:tcPr>
          <w:p>
            <w:pPr>
              <w:rPr>
                <w:rFonts w:ascii="宋体"/>
                <w:spacing w:val="20"/>
                <w:szCs w:val="21"/>
                <w:lang w:val="de-DE"/>
              </w:rPr>
            </w:pPr>
            <w:r>
              <w:rPr>
                <w:rFonts w:hint="eastAsia"/>
              </w:rPr>
              <w:t>滁州</w:t>
            </w:r>
            <w:r>
              <w:rPr>
                <w:rFonts w:hint="eastAsia"/>
                <w:lang w:val="en-US" w:eastAsia="zh-CN"/>
              </w:rPr>
              <w:t>滁能</w:t>
            </w:r>
            <w:r>
              <w:rPr>
                <w:rFonts w:hint="eastAsia"/>
              </w:rPr>
              <w:t>热电有限公司位于滁州经济技术开发区，是经安徽省发改委审核批准的热电联产集中供热企业。公司占地129亩，项目总投资10.5亿元，其中固定资产投资7.86亿元</w:t>
            </w:r>
            <w:r>
              <w:rPr>
                <w:rFonts w:hint="eastAsia" w:ascii="宋体" w:hAnsi="宋体"/>
                <w:spacing w:val="20"/>
                <w:szCs w:val="21"/>
                <w:lang w:val="de-DE"/>
              </w:rPr>
              <w:t>，项目地点位于滁州经济技术开发区中心区域，新安江路与苏州路交口东北，占地约130亩，</w:t>
            </w:r>
            <w:r>
              <w:rPr>
                <w:rFonts w:hint="eastAsia" w:ascii="宋体" w:hAnsi="宋体"/>
                <w:spacing w:val="20"/>
                <w:szCs w:val="21"/>
                <w:lang w:val="en-US" w:eastAsia="zh-CN"/>
              </w:rPr>
              <w:t>企业实际人数为120人。</w:t>
            </w:r>
            <w:r>
              <w:rPr>
                <w:rFonts w:hint="eastAsia" w:ascii="宋体" w:hAnsi="宋体"/>
                <w:szCs w:val="21"/>
              </w:rPr>
              <w:t>具备二阶段审核的条件</w:t>
            </w:r>
          </w:p>
        </w:tc>
        <w:tc>
          <w:tcPr>
            <w:tcW w:w="993" w:type="dxa"/>
          </w:tcPr>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160" w:type="dxa"/>
          </w:tcPr>
          <w:p>
            <w:pPr>
              <w:autoSpaceDE w:val="0"/>
              <w:autoSpaceDN w:val="0"/>
              <w:adjustRightInd w:val="0"/>
              <w:rPr>
                <w:rFonts w:hint="eastAsia" w:ascii="宋体" w:hAnsi="宋体" w:cs="CIDFont+F2"/>
                <w:bCs/>
                <w:kern w:val="0"/>
                <w:szCs w:val="21"/>
              </w:rPr>
            </w:pPr>
            <w:r>
              <w:rPr>
                <w:rFonts w:hint="eastAsia" w:ascii="宋体" w:hAnsi="宋体" w:cs="CIDFont+F2"/>
                <w:bCs/>
                <w:kern w:val="0"/>
                <w:szCs w:val="21"/>
              </w:rPr>
              <w:t>10、确认组织管理体系认证范围、过程和场所的相关信息</w:t>
            </w:r>
          </w:p>
        </w:tc>
        <w:tc>
          <w:tcPr>
            <w:tcW w:w="960" w:type="dxa"/>
          </w:tcPr>
          <w:p>
            <w:pPr>
              <w:autoSpaceDE w:val="0"/>
              <w:autoSpaceDN w:val="0"/>
              <w:adjustRightInd w:val="0"/>
              <w:rPr>
                <w:rFonts w:hint="eastAsia" w:ascii="宋体" w:hAnsi="宋体" w:cs="CIDFont+F2"/>
                <w:bCs/>
                <w:kern w:val="0"/>
                <w:szCs w:val="21"/>
              </w:rPr>
            </w:pPr>
          </w:p>
        </w:tc>
        <w:tc>
          <w:tcPr>
            <w:tcW w:w="10596" w:type="dxa"/>
          </w:tcPr>
          <w:p>
            <w:pPr>
              <w:rPr>
                <w:rFonts w:hint="default" w:eastAsia="宋体"/>
                <w:lang w:val="en-US" w:eastAsia="zh-CN"/>
              </w:rPr>
            </w:pPr>
            <w:bookmarkStart w:id="0" w:name="审核范围"/>
            <w:r>
              <w:rPr>
                <w:rFonts w:hint="eastAsia"/>
                <w:lang w:val="en-US" w:eastAsia="zh-CN"/>
              </w:rPr>
              <w:t>确认组织管理体系认证范围：</w:t>
            </w:r>
          </w:p>
          <w:p>
            <w:r>
              <w:t>Q：供电服务(限许可范围内）</w:t>
            </w:r>
          </w:p>
          <w:p>
            <w:r>
              <w:t>E：供电服务(限许可范围内）所涉及场所相关的环境管理活动</w:t>
            </w:r>
          </w:p>
          <w:p>
            <w:pPr>
              <w:autoSpaceDE w:val="0"/>
              <w:autoSpaceDN w:val="0"/>
              <w:adjustRightInd w:val="0"/>
            </w:pPr>
            <w:r>
              <w:t>O：供电服务(限许可范围内）所涉及场所相关的职业健康安全管理活动</w:t>
            </w:r>
            <w:bookmarkEnd w:id="0"/>
          </w:p>
          <w:p>
            <w:pPr>
              <w:autoSpaceDE w:val="0"/>
              <w:autoSpaceDN w:val="0"/>
              <w:adjustRightInd w:val="0"/>
              <w:rPr>
                <w:rFonts w:hint="eastAsia" w:eastAsia="宋体"/>
                <w:lang w:val="en-US" w:eastAsia="zh-CN"/>
              </w:rPr>
            </w:pPr>
            <w:r>
              <w:rPr>
                <w:rFonts w:hint="eastAsia"/>
                <w:lang w:val="en-US" w:eastAsia="zh-CN"/>
              </w:rPr>
              <w:t>边界：</w:t>
            </w:r>
            <w:bookmarkStart w:id="1" w:name="生产地址"/>
            <w:r>
              <w:t>安徽省滁州市苏州南路789号</w:t>
            </w:r>
            <w:bookmarkEnd w:id="1"/>
          </w:p>
        </w:tc>
        <w:tc>
          <w:tcPr>
            <w:tcW w:w="993" w:type="dxa"/>
          </w:tcPr>
          <w:p>
            <w:pPr>
              <w:autoSpaceDE w:val="0"/>
              <w:autoSpaceDN w:val="0"/>
              <w:adjustRightInd w:val="0"/>
              <w:rPr>
                <w:rFonts w:hint="eastAsia" w:ascii="宋体" w:hAnsi="宋体" w:cs="CIDFont+F2"/>
                <w:bCs/>
                <w:kern w:val="0"/>
                <w:szCs w:val="21"/>
              </w:rPr>
            </w:pPr>
          </w:p>
          <w:p>
            <w:pPr>
              <w:autoSpaceDE w:val="0"/>
              <w:autoSpaceDN w:val="0"/>
              <w:adjustRightInd w:val="0"/>
              <w:rPr>
                <w:rFonts w:hint="eastAsia" w:ascii="宋体" w:hAnsi="宋体" w:cs="CIDFont+F2"/>
                <w:bCs/>
                <w:kern w:val="0"/>
                <w:szCs w:val="21"/>
              </w:rPr>
            </w:pPr>
          </w:p>
          <w:p>
            <w:pPr>
              <w:autoSpaceDE w:val="0"/>
              <w:autoSpaceDN w:val="0"/>
              <w:adjustRightInd w:val="0"/>
              <w:rPr>
                <w:rFonts w:hint="default" w:ascii="宋体" w:hAnsi="宋体" w:eastAsia="宋体" w:cs="CIDFont+F2"/>
                <w:bCs/>
                <w:kern w:val="0"/>
                <w:szCs w:val="21"/>
                <w:lang w:val="en-US" w:eastAsia="zh-CN"/>
              </w:rPr>
            </w:pPr>
            <w:r>
              <w:rPr>
                <w:rFonts w:hint="eastAsia" w:ascii="宋体" w:hAnsi="宋体" w:cs="CIDFont+F2"/>
                <w:bCs/>
                <w:kern w:val="0"/>
                <w:szCs w:val="21"/>
                <w:lang w:val="en-US" w:eastAsia="zh-CN"/>
              </w:rPr>
              <w:t xml:space="preserve">  y</w:t>
            </w:r>
          </w:p>
        </w:tc>
      </w:tr>
    </w:tbl>
    <w:p/>
    <w:p>
      <w:pPr>
        <w:pStyle w:val="5"/>
      </w:pPr>
      <w:r>
        <w:rPr>
          <w:rFonts w:hint="eastAsia"/>
        </w:rPr>
        <w:t>说明：不符合标注</w:t>
      </w:r>
      <w:r>
        <w:t>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CIDFont+F5">
    <w:altName w:val="宋体"/>
    <w:panose1 w:val="00000000000000000000"/>
    <w:charset w:val="86"/>
    <w:family w:val="auto"/>
    <w:pitch w:val="default"/>
    <w:sig w:usb0="00000000" w:usb1="00000000" w:usb2="00000010" w:usb3="00000000" w:csb0="00040000" w:csb1="00000000"/>
  </w:font>
  <w:font w:name="CIDFont+F2">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b/>
      </w:rPr>
      <w:fldChar w:fldCharType="begin"/>
    </w:r>
    <w:r>
      <w:rPr>
        <w:b/>
      </w:rPr>
      <w:instrText xml:space="preserve">PAGE</w:instrText>
    </w:r>
    <w:r>
      <w:rPr>
        <w:b/>
      </w:rPr>
      <w:fldChar w:fldCharType="separate"/>
    </w:r>
    <w:r>
      <w:rPr>
        <w:b/>
      </w:rPr>
      <w:t>3</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4</w:t>
    </w:r>
    <w:r>
      <w:rPr>
        <w:b/>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4"/>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7033 0 4019 1440 -502 5760 -502 10080 0 15360 502 17280 7033 20640 11051 20640 13060 20640 13563 20640 20093 15360 21098 6240 15070 480 12558 0 7033 0">
          <v:path/>
          <v:fill on="f" focussize="0,0"/>
          <v:stroke on="f" joinstyle="miter"/>
          <v:imagedata r:id="rId1" o:title=""/>
          <o:lock v:ext="edit" aspectratio="t"/>
          <w10:wrap type="tight"/>
        </v:shape>
      </w:pict>
    </w:r>
    <w:r>
      <w:rPr>
        <w:rStyle w:val="14"/>
        <w:rFonts w:hint="eastAsia"/>
      </w:rPr>
      <w:t>北京国标联合认证有限公司</w:t>
    </w:r>
    <w:r>
      <w:rPr>
        <w:rStyle w:val="14"/>
      </w:rPr>
      <w:tab/>
    </w:r>
    <w:r>
      <w:rPr>
        <w:rStyle w:val="14"/>
      </w:rPr>
      <w:tab/>
    </w:r>
    <w:r>
      <w:rPr>
        <w:rStyle w:val="14"/>
      </w:rPr>
      <w:tab/>
    </w:r>
  </w:p>
  <w:p>
    <w:pPr>
      <w:pStyle w:val="6"/>
      <w:pBdr>
        <w:bottom w:val="none" w:color="auto" w:sz="0" w:space="0"/>
      </w:pBdr>
      <w:spacing w:line="320" w:lineRule="exact"/>
      <w:ind w:firstLine="720" w:firstLineChars="400"/>
      <w:jc w:val="left"/>
    </w:pPr>
    <w:r>
      <w:pict>
        <v:shape id="文本框 1" o:spid="_x0000_s4098" o:spt="202" type="#_x0000_t202" style="position:absolute;left:0pt;margin-left:554.75pt;margin-top:2.2pt;height:20.2pt;width:172pt;z-index:251657216;mso-width-relative:page;mso-height-relative:page;" stroked="f" coordsize="21600,21600">
          <v:path/>
          <v:fill focussize="0,0"/>
          <v:stroke on="f" joinstyle="miter"/>
          <v:imagedata o:title=""/>
          <o:lock v:ext="edit"/>
          <v:textbox>
            <w:txbxContent>
              <w:p>
                <w:r>
                  <w:t>ISC-</w:t>
                </w:r>
                <w:r>
                  <w:rPr>
                    <w:sz w:val="18"/>
                    <w:szCs w:val="18"/>
                  </w:rPr>
                  <w:t>B-I-13</w:t>
                </w:r>
                <w:r>
                  <w:rPr>
                    <w:rFonts w:hint="eastAsia"/>
                    <w:sz w:val="18"/>
                    <w:szCs w:val="18"/>
                  </w:rPr>
                  <w:t>管理体系审核记录表</w:t>
                </w:r>
                <w:r>
                  <w:rPr>
                    <w:sz w:val="18"/>
                    <w:szCs w:val="18"/>
                  </w:rPr>
                  <w:t>(03</w:t>
                </w:r>
                <w:r>
                  <w:rPr>
                    <w:rFonts w:hint="eastAsia"/>
                    <w:sz w:val="18"/>
                    <w:szCs w:val="18"/>
                  </w:rPr>
                  <w:t>版</w:t>
                </w:r>
                <w:r>
                  <w:rPr>
                    <w:sz w:val="18"/>
                    <w:szCs w:val="18"/>
                  </w:rPr>
                  <w:t>)</w:t>
                </w:r>
              </w:p>
            </w:txbxContent>
          </v:textbox>
        </v:shape>
      </w:pict>
    </w:r>
    <w:r>
      <w:rPr>
        <w:rStyle w:val="14"/>
        <w:w w:val="90"/>
      </w:rPr>
      <w:t>Beijing International Standard united Certification Co.,Ltd.</w:t>
    </w: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4CD4"/>
    <w:rsid w:val="0003373A"/>
    <w:rsid w:val="000750A3"/>
    <w:rsid w:val="000B51BD"/>
    <w:rsid w:val="000D7556"/>
    <w:rsid w:val="000E7E79"/>
    <w:rsid w:val="00104223"/>
    <w:rsid w:val="00137E98"/>
    <w:rsid w:val="001C4B29"/>
    <w:rsid w:val="001D74C0"/>
    <w:rsid w:val="001E6D15"/>
    <w:rsid w:val="00252F13"/>
    <w:rsid w:val="002F7AFB"/>
    <w:rsid w:val="0031565A"/>
    <w:rsid w:val="00321D03"/>
    <w:rsid w:val="00390345"/>
    <w:rsid w:val="003A47B7"/>
    <w:rsid w:val="003B4D0F"/>
    <w:rsid w:val="003C24FE"/>
    <w:rsid w:val="0040057D"/>
    <w:rsid w:val="00425538"/>
    <w:rsid w:val="0047664B"/>
    <w:rsid w:val="004C3B65"/>
    <w:rsid w:val="004C773A"/>
    <w:rsid w:val="004E2167"/>
    <w:rsid w:val="00502D2F"/>
    <w:rsid w:val="00585FA5"/>
    <w:rsid w:val="005B4A20"/>
    <w:rsid w:val="005E23A2"/>
    <w:rsid w:val="00610CCF"/>
    <w:rsid w:val="006250B7"/>
    <w:rsid w:val="007242C9"/>
    <w:rsid w:val="0076102F"/>
    <w:rsid w:val="007620A1"/>
    <w:rsid w:val="007757F3"/>
    <w:rsid w:val="007F3A40"/>
    <w:rsid w:val="008200F8"/>
    <w:rsid w:val="00824194"/>
    <w:rsid w:val="008512D6"/>
    <w:rsid w:val="00871C15"/>
    <w:rsid w:val="008766EC"/>
    <w:rsid w:val="00894CD4"/>
    <w:rsid w:val="008973EE"/>
    <w:rsid w:val="008D6697"/>
    <w:rsid w:val="009178F7"/>
    <w:rsid w:val="00923997"/>
    <w:rsid w:val="009560D2"/>
    <w:rsid w:val="00A13B89"/>
    <w:rsid w:val="00B65520"/>
    <w:rsid w:val="00BB1088"/>
    <w:rsid w:val="00BF6E5F"/>
    <w:rsid w:val="00C6490B"/>
    <w:rsid w:val="00C67073"/>
    <w:rsid w:val="00C819D2"/>
    <w:rsid w:val="00C917F5"/>
    <w:rsid w:val="00C93EF5"/>
    <w:rsid w:val="00CA303E"/>
    <w:rsid w:val="00CA4B74"/>
    <w:rsid w:val="00D23F98"/>
    <w:rsid w:val="00D27057"/>
    <w:rsid w:val="00D471D9"/>
    <w:rsid w:val="00D72E37"/>
    <w:rsid w:val="00D963BF"/>
    <w:rsid w:val="00DB5DCA"/>
    <w:rsid w:val="00DF7245"/>
    <w:rsid w:val="00E23AF7"/>
    <w:rsid w:val="00EA6B06"/>
    <w:rsid w:val="00EA6E0E"/>
    <w:rsid w:val="00EF28F3"/>
    <w:rsid w:val="00F33E4E"/>
    <w:rsid w:val="00F5310D"/>
    <w:rsid w:val="07D3698E"/>
    <w:rsid w:val="13EA63B8"/>
    <w:rsid w:val="1D176DAA"/>
    <w:rsid w:val="2DE12282"/>
    <w:rsid w:val="3011705D"/>
    <w:rsid w:val="3EB623E6"/>
    <w:rsid w:val="54E4384D"/>
    <w:rsid w:val="550E2ADE"/>
    <w:rsid w:val="5A1B368A"/>
    <w:rsid w:val="5CB54D37"/>
    <w:rsid w:val="66692568"/>
    <w:rsid w:val="69D53C1F"/>
    <w:rsid w:val="6BEC493E"/>
    <w:rsid w:val="6FC81F8B"/>
    <w:rsid w:val="73BA0AC1"/>
    <w:rsid w:val="7A87710C"/>
    <w:rsid w:val="7B1715B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2"/>
    <w:basedOn w:val="1"/>
    <w:next w:val="1"/>
    <w:qFormat/>
    <w:locked/>
    <w:uiPriority w:val="0"/>
    <w:pPr>
      <w:keepNext/>
      <w:ind w:left="420"/>
      <w:outlineLvl w:val="1"/>
    </w:pPr>
    <w:rPr>
      <w:sz w:val="28"/>
    </w:rPr>
  </w:style>
  <w:style w:type="character" w:default="1" w:styleId="9">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rPr>
      <w:sz w:val="28"/>
    </w:rPr>
  </w:style>
  <w:style w:type="paragraph" w:styleId="4">
    <w:name w:val="Balloon Text"/>
    <w:basedOn w:val="1"/>
    <w:link w:val="11"/>
    <w:semiHidden/>
    <w:qFormat/>
    <w:uiPriority w:val="99"/>
    <w:rPr>
      <w:kern w:val="0"/>
      <w:sz w:val="18"/>
      <w:szCs w:val="18"/>
    </w:rPr>
  </w:style>
  <w:style w:type="paragraph" w:styleId="5">
    <w:name w:val="footer"/>
    <w:basedOn w:val="1"/>
    <w:link w:val="12"/>
    <w:qFormat/>
    <w:uiPriority w:val="99"/>
    <w:pPr>
      <w:tabs>
        <w:tab w:val="center" w:pos="4153"/>
        <w:tab w:val="right" w:pos="8306"/>
      </w:tabs>
      <w:snapToGrid w:val="0"/>
      <w:jc w:val="left"/>
    </w:pPr>
    <w:rPr>
      <w:kern w:val="0"/>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kern w:val="0"/>
      <w:sz w:val="18"/>
      <w:szCs w:val="18"/>
    </w:rPr>
  </w:style>
  <w:style w:type="table" w:styleId="8">
    <w:name w:val="Table Grid"/>
    <w:basedOn w:val="7"/>
    <w:qFormat/>
    <w:locked/>
    <w:uiPriority w:val="99"/>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locked/>
    <w:uiPriority w:val="99"/>
    <w:rPr>
      <w:rFonts w:cs="Times New Roman"/>
      <w:b/>
    </w:rPr>
  </w:style>
  <w:style w:type="character" w:customStyle="1" w:styleId="11">
    <w:name w:val="Balloon Text Char"/>
    <w:basedOn w:val="9"/>
    <w:link w:val="4"/>
    <w:semiHidden/>
    <w:qFormat/>
    <w:locked/>
    <w:uiPriority w:val="99"/>
    <w:rPr>
      <w:rFonts w:ascii="Times New Roman" w:hAnsi="Times New Roman" w:eastAsia="宋体" w:cs="Times New Roman"/>
      <w:sz w:val="18"/>
    </w:rPr>
  </w:style>
  <w:style w:type="character" w:customStyle="1" w:styleId="12">
    <w:name w:val="Footer Char"/>
    <w:basedOn w:val="9"/>
    <w:link w:val="5"/>
    <w:qFormat/>
    <w:locked/>
    <w:uiPriority w:val="99"/>
    <w:rPr>
      <w:rFonts w:ascii="Times New Roman" w:hAnsi="Times New Roman" w:eastAsia="宋体" w:cs="Times New Roman"/>
      <w:sz w:val="18"/>
    </w:rPr>
  </w:style>
  <w:style w:type="character" w:customStyle="1" w:styleId="13">
    <w:name w:val="Header Char"/>
    <w:basedOn w:val="9"/>
    <w:link w:val="6"/>
    <w:qFormat/>
    <w:locked/>
    <w:uiPriority w:val="99"/>
    <w:rPr>
      <w:rFonts w:ascii="Times New Roman" w:hAnsi="Times New Roman" w:eastAsia="宋体" w:cs="Times New Roman"/>
      <w:sz w:val="18"/>
    </w:rPr>
  </w:style>
  <w:style w:type="character" w:customStyle="1" w:styleId="14">
    <w:name w:val="Char Char1"/>
    <w:qFormat/>
    <w:locked/>
    <w:uiPriority w:val="99"/>
    <w:rPr>
      <w:rFonts w:ascii="宋体" w:hAnsi="Courier New" w:eastAsia="宋体"/>
      <w:kern w:val="2"/>
      <w:sz w:val="21"/>
      <w:lang w:val="en-US" w:eastAsia="zh-CN"/>
    </w:rPr>
  </w:style>
  <w:style w:type="character" w:customStyle="1" w:styleId="15">
    <w:name w:val="Char Char"/>
    <w:qFormat/>
    <w:locked/>
    <w:uiPriority w:val="99"/>
    <w:rPr>
      <w:rFonts w:eastAsia="宋体"/>
      <w:kern w:val="2"/>
      <w:sz w:val="18"/>
      <w:lang w:val="en-US" w:eastAsia="zh-CN"/>
    </w:rPr>
  </w:style>
  <w:style w:type="paragraph" w:customStyle="1" w:styleId="16">
    <w:name w:val="表格文字"/>
    <w:basedOn w:val="1"/>
    <w:qFormat/>
    <w:uiPriority w:val="99"/>
    <w:pPr>
      <w:spacing w:before="25" w:after="25"/>
    </w:pPr>
    <w:rPr>
      <w:bCs/>
      <w:spacing w:val="1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272</Words>
  <Characters>1551</Characters>
  <Lines>0</Lines>
  <Paragraphs>0</Paragraphs>
  <TotalTime>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Lenovo</cp:lastModifiedBy>
  <dcterms:modified xsi:type="dcterms:W3CDTF">2021-03-21T22:21:18Z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