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石家庄市鸣洋装饰工程有限公司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施工准备→拆除工程→地面工程→防水施工※→基层处理→墙面、地面贴砖→洁具安装→灯具安装→调试→清理卫生→竣工验收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设备、人员不到位导致不符合要求，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特殊过程为防水、涂漆。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火灾事故的发生、触电、噪声伤害、意外伤害、物体打击、高空坠落、机械/车辆伤害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《建筑装饰工程施工及验收规范》（JGJ73-1991）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《建筑安装工程施工及验收规范》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《建筑内部装修设计防火规范》（GB50022-1995）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《建筑施工作业安全技术规范》（JGJ80-1991）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《施工现场临时建筑用电安全技术规范》（JCJ46-1988）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2B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2021-03-11T07:30:45Z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35A630B6B1C4453FADDDC0E6BC010EA4</vt:lpwstr>
  </property>
</Properties>
</file>