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57216;mso-width-relative:page;mso-height-relative:page;" filled="f" o:preferrelative="t" stroked="f" coordsize="21600,21600"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sz w:val="32"/>
          <w:szCs w:val="32"/>
        </w:rPr>
        <w:t>山东博琅教育科技有限公司</w:t>
      </w:r>
      <w:bookmarkEnd w:id="0"/>
    </w:p>
    <w:p>
      <w:pPr>
        <w:snapToGrid w:val="0"/>
        <w:spacing w:after="97" w:afterLines="30"/>
        <w:rPr>
          <w:rFonts w:ascii="楷体" w:hAnsi="楷体" w:eastAsia="楷体"/>
          <w:b/>
          <w:color w:val="000000"/>
          <w:sz w:val="32"/>
          <w:szCs w:val="32"/>
        </w:rPr>
      </w:pPr>
    </w:p>
    <w:p>
      <w:pPr>
        <w:snapToGrid w:val="0"/>
        <w:spacing w:after="97"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7"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第2次</w:t>
      </w:r>
      <w:r>
        <w:rPr>
          <w:rFonts w:ascii="楷体_GB2312" w:eastAsia="楷体_GB2312"/>
          <w:sz w:val="32"/>
          <w:szCs w:val="32"/>
        </w:rPr>
        <w:t>)</w:t>
      </w:r>
    </w:p>
    <w:p>
      <w:pPr>
        <w:snapToGrid w:val="0"/>
        <w:spacing w:after="97"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第2次</w:t>
      </w:r>
      <w:r>
        <w:rPr>
          <w:rFonts w:ascii="楷体_GB2312" w:eastAsia="楷体_GB2312"/>
          <w:sz w:val="32"/>
          <w:szCs w:val="32"/>
        </w:rPr>
        <w:t>)</w:t>
      </w:r>
    </w:p>
    <w:p>
      <w:pPr>
        <w:snapToGrid w:val="0"/>
        <w:spacing w:after="97"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第2次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7"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Style w:val="10"/>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135"/>
        <w:gridCol w:w="1276"/>
        <w:gridCol w:w="2835"/>
        <w:gridCol w:w="282"/>
        <w:gridCol w:w="850"/>
        <w:gridCol w:w="286"/>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135" w:type="dxa"/>
            <w:vAlign w:val="center"/>
          </w:tcPr>
          <w:p>
            <w:pPr>
              <w:jc w:val="center"/>
              <w:rPr>
                <w:b/>
                <w:sz w:val="21"/>
                <w:szCs w:val="21"/>
              </w:rPr>
            </w:pPr>
            <w:r>
              <w:rPr>
                <w:rFonts w:hint="eastAsia"/>
                <w:b/>
                <w:sz w:val="21"/>
                <w:szCs w:val="21"/>
              </w:rPr>
              <w:t>职务</w:t>
            </w:r>
          </w:p>
        </w:tc>
        <w:tc>
          <w:tcPr>
            <w:tcW w:w="1276" w:type="dxa"/>
            <w:vAlign w:val="center"/>
          </w:tcPr>
          <w:p>
            <w:pPr>
              <w:jc w:val="center"/>
              <w:rPr>
                <w:b/>
                <w:sz w:val="21"/>
                <w:szCs w:val="21"/>
              </w:rPr>
            </w:pPr>
            <w:r>
              <w:rPr>
                <w:rFonts w:hint="eastAsia"/>
                <w:b/>
                <w:sz w:val="21"/>
                <w:szCs w:val="21"/>
              </w:rPr>
              <w:t>注册级别</w:t>
            </w:r>
          </w:p>
        </w:tc>
        <w:tc>
          <w:tcPr>
            <w:tcW w:w="2835" w:type="dxa"/>
            <w:vAlign w:val="center"/>
          </w:tcPr>
          <w:p>
            <w:pPr>
              <w:jc w:val="center"/>
              <w:rPr>
                <w:b/>
                <w:sz w:val="21"/>
                <w:szCs w:val="21"/>
              </w:rPr>
            </w:pPr>
            <w:r>
              <w:rPr>
                <w:rFonts w:hint="eastAsia"/>
                <w:b/>
                <w:sz w:val="21"/>
                <w:szCs w:val="21"/>
              </w:rPr>
              <w:t>审核员注册号</w:t>
            </w:r>
          </w:p>
        </w:tc>
        <w:tc>
          <w:tcPr>
            <w:tcW w:w="1418" w:type="dxa"/>
            <w:gridSpan w:val="3"/>
            <w:vAlign w:val="center"/>
          </w:tcPr>
          <w:p>
            <w:pPr>
              <w:jc w:val="center"/>
              <w:rPr>
                <w:b/>
                <w:sz w:val="21"/>
                <w:szCs w:val="21"/>
              </w:rPr>
            </w:pPr>
            <w:r>
              <w:rPr>
                <w:rFonts w:hint="eastAsia"/>
                <w:b/>
                <w:sz w:val="21"/>
                <w:szCs w:val="21"/>
              </w:rPr>
              <w:t>专业代码</w:t>
            </w:r>
          </w:p>
        </w:tc>
        <w:tc>
          <w:tcPr>
            <w:tcW w:w="1328"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汪桂丽</w:t>
            </w:r>
          </w:p>
        </w:tc>
        <w:tc>
          <w:tcPr>
            <w:tcW w:w="824" w:type="dxa"/>
            <w:gridSpan w:val="2"/>
            <w:vAlign w:val="center"/>
          </w:tcPr>
          <w:p>
            <w:pPr>
              <w:jc w:val="center"/>
              <w:rPr>
                <w:b/>
                <w:sz w:val="21"/>
                <w:szCs w:val="21"/>
              </w:rPr>
            </w:pPr>
            <w:r>
              <w:rPr>
                <w:b/>
                <w:sz w:val="21"/>
                <w:szCs w:val="21"/>
              </w:rPr>
              <w:t>女</w:t>
            </w:r>
          </w:p>
        </w:tc>
        <w:tc>
          <w:tcPr>
            <w:tcW w:w="1135" w:type="dxa"/>
            <w:vAlign w:val="center"/>
          </w:tcPr>
          <w:p>
            <w:pPr>
              <w:jc w:val="center"/>
              <w:rPr>
                <w:b/>
                <w:sz w:val="21"/>
                <w:szCs w:val="21"/>
              </w:rPr>
            </w:pPr>
            <w:r>
              <w:rPr>
                <w:b/>
                <w:sz w:val="21"/>
                <w:szCs w:val="21"/>
              </w:rPr>
              <w:t>组长</w:t>
            </w:r>
          </w:p>
        </w:tc>
        <w:tc>
          <w:tcPr>
            <w:tcW w:w="1276"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835" w:type="dxa"/>
            <w:vAlign w:val="center"/>
          </w:tcPr>
          <w:p>
            <w:pPr>
              <w:jc w:val="center"/>
              <w:rPr>
                <w:b/>
                <w:sz w:val="21"/>
                <w:szCs w:val="21"/>
              </w:rPr>
            </w:pPr>
            <w:r>
              <w:rPr>
                <w:b/>
                <w:sz w:val="21"/>
                <w:szCs w:val="21"/>
              </w:rPr>
              <w:t>2018-N1QMS-5043149</w:t>
            </w:r>
          </w:p>
          <w:p>
            <w:pPr>
              <w:jc w:val="center"/>
              <w:rPr>
                <w:b/>
                <w:sz w:val="21"/>
                <w:szCs w:val="21"/>
              </w:rPr>
            </w:pPr>
            <w:r>
              <w:rPr>
                <w:b/>
                <w:sz w:val="21"/>
                <w:szCs w:val="21"/>
              </w:rPr>
              <w:t>2018-N1EMS-3043149</w:t>
            </w:r>
          </w:p>
          <w:p>
            <w:pPr>
              <w:jc w:val="center"/>
              <w:rPr>
                <w:b/>
                <w:sz w:val="21"/>
                <w:szCs w:val="21"/>
              </w:rPr>
            </w:pPr>
            <w:r>
              <w:rPr>
                <w:b/>
                <w:sz w:val="21"/>
                <w:szCs w:val="21"/>
              </w:rPr>
              <w:t>2020-N1OHSMS-2043149</w:t>
            </w:r>
          </w:p>
        </w:tc>
        <w:tc>
          <w:tcPr>
            <w:tcW w:w="1418" w:type="dxa"/>
            <w:gridSpan w:val="3"/>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328" w:type="dxa"/>
            <w:vAlign w:val="center"/>
          </w:tcPr>
          <w:p>
            <w:pPr>
              <w:jc w:val="center"/>
              <w:rPr>
                <w:b/>
                <w:sz w:val="21"/>
                <w:szCs w:val="21"/>
              </w:rPr>
            </w:pPr>
            <w:r>
              <w:rPr>
                <w:b/>
                <w:sz w:val="21"/>
                <w:szCs w:val="21"/>
              </w:rPr>
              <w:t>ISC[S]0034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姜海军</w:t>
            </w:r>
          </w:p>
        </w:tc>
        <w:tc>
          <w:tcPr>
            <w:tcW w:w="824" w:type="dxa"/>
            <w:gridSpan w:val="2"/>
            <w:vAlign w:val="center"/>
          </w:tcPr>
          <w:p>
            <w:pPr>
              <w:jc w:val="center"/>
              <w:rPr>
                <w:b/>
                <w:sz w:val="21"/>
                <w:szCs w:val="21"/>
              </w:rPr>
            </w:pPr>
            <w:r>
              <w:rPr>
                <w:b/>
                <w:sz w:val="21"/>
                <w:szCs w:val="21"/>
              </w:rPr>
              <w:t>男</w:t>
            </w:r>
          </w:p>
        </w:tc>
        <w:tc>
          <w:tcPr>
            <w:tcW w:w="1135" w:type="dxa"/>
            <w:vAlign w:val="center"/>
          </w:tcPr>
          <w:p>
            <w:pPr>
              <w:jc w:val="center"/>
              <w:rPr>
                <w:b/>
                <w:sz w:val="21"/>
                <w:szCs w:val="21"/>
              </w:rPr>
            </w:pPr>
            <w:r>
              <w:rPr>
                <w:b/>
                <w:sz w:val="21"/>
                <w:szCs w:val="21"/>
              </w:rPr>
              <w:t>组员</w:t>
            </w:r>
          </w:p>
        </w:tc>
        <w:tc>
          <w:tcPr>
            <w:tcW w:w="1276"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835" w:type="dxa"/>
            <w:vAlign w:val="center"/>
          </w:tcPr>
          <w:p>
            <w:pPr>
              <w:jc w:val="center"/>
              <w:rPr>
                <w:b/>
                <w:sz w:val="21"/>
                <w:szCs w:val="21"/>
              </w:rPr>
            </w:pPr>
            <w:r>
              <w:rPr>
                <w:b/>
                <w:sz w:val="21"/>
                <w:szCs w:val="21"/>
              </w:rPr>
              <w:t>2019-N1QMS-3073544</w:t>
            </w:r>
          </w:p>
          <w:p>
            <w:pPr>
              <w:jc w:val="center"/>
              <w:rPr>
                <w:b/>
                <w:sz w:val="21"/>
                <w:szCs w:val="21"/>
              </w:rPr>
            </w:pPr>
            <w:r>
              <w:rPr>
                <w:b/>
                <w:sz w:val="21"/>
                <w:szCs w:val="21"/>
              </w:rPr>
              <w:t>2020-N1EMS-3073544</w:t>
            </w:r>
          </w:p>
          <w:p>
            <w:pPr>
              <w:jc w:val="center"/>
              <w:rPr>
                <w:b/>
                <w:sz w:val="21"/>
                <w:szCs w:val="21"/>
              </w:rPr>
            </w:pPr>
            <w:r>
              <w:rPr>
                <w:b/>
                <w:sz w:val="21"/>
                <w:szCs w:val="21"/>
              </w:rPr>
              <w:t>2020-N1OHSMS-3073544</w:t>
            </w:r>
          </w:p>
        </w:tc>
        <w:tc>
          <w:tcPr>
            <w:tcW w:w="1418" w:type="dxa"/>
            <w:gridSpan w:val="3"/>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328" w:type="dxa"/>
            <w:vAlign w:val="center"/>
          </w:tcPr>
          <w:p>
            <w:pPr>
              <w:jc w:val="center"/>
              <w:rPr>
                <w:b/>
                <w:sz w:val="21"/>
                <w:szCs w:val="21"/>
              </w:rPr>
            </w:pPr>
            <w:r>
              <w:rPr>
                <w:b/>
                <w:sz w:val="21"/>
                <w:szCs w:val="21"/>
              </w:rPr>
              <w:t>ISC-73544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135" w:type="dxa"/>
          </w:tcPr>
          <w:p>
            <w:pPr>
              <w:rPr>
                <w:b/>
                <w:sz w:val="21"/>
                <w:szCs w:val="21"/>
              </w:rPr>
            </w:pPr>
          </w:p>
        </w:tc>
        <w:tc>
          <w:tcPr>
            <w:tcW w:w="1276" w:type="dxa"/>
          </w:tcPr>
          <w:p>
            <w:pPr>
              <w:rPr>
                <w:b/>
                <w:sz w:val="21"/>
                <w:szCs w:val="21"/>
              </w:rPr>
            </w:pPr>
          </w:p>
        </w:tc>
        <w:tc>
          <w:tcPr>
            <w:tcW w:w="2835" w:type="dxa"/>
          </w:tcPr>
          <w:p>
            <w:pPr>
              <w:rPr>
                <w:b/>
                <w:sz w:val="21"/>
                <w:szCs w:val="21"/>
              </w:rPr>
            </w:pPr>
          </w:p>
        </w:tc>
        <w:tc>
          <w:tcPr>
            <w:tcW w:w="1418" w:type="dxa"/>
            <w:gridSpan w:val="3"/>
          </w:tcPr>
          <w:p>
            <w:pPr>
              <w:rPr>
                <w:b/>
                <w:sz w:val="21"/>
                <w:szCs w:val="21"/>
              </w:rPr>
            </w:pPr>
          </w:p>
        </w:tc>
        <w:tc>
          <w:tcPr>
            <w:tcW w:w="1328"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135" w:type="dxa"/>
          </w:tcPr>
          <w:p>
            <w:pPr>
              <w:rPr>
                <w:b/>
                <w:sz w:val="21"/>
                <w:szCs w:val="21"/>
              </w:rPr>
            </w:pPr>
          </w:p>
        </w:tc>
        <w:tc>
          <w:tcPr>
            <w:tcW w:w="1276" w:type="dxa"/>
          </w:tcPr>
          <w:p>
            <w:pPr>
              <w:rPr>
                <w:b/>
                <w:sz w:val="21"/>
                <w:szCs w:val="21"/>
              </w:rPr>
            </w:pPr>
          </w:p>
        </w:tc>
        <w:tc>
          <w:tcPr>
            <w:tcW w:w="2835" w:type="dxa"/>
          </w:tcPr>
          <w:p>
            <w:pPr>
              <w:rPr>
                <w:b/>
                <w:sz w:val="21"/>
                <w:szCs w:val="21"/>
              </w:rPr>
            </w:pPr>
          </w:p>
        </w:tc>
        <w:tc>
          <w:tcPr>
            <w:tcW w:w="1418" w:type="dxa"/>
            <w:gridSpan w:val="3"/>
          </w:tcPr>
          <w:p>
            <w:pPr>
              <w:rPr>
                <w:b/>
                <w:sz w:val="21"/>
                <w:szCs w:val="21"/>
              </w:rPr>
            </w:pPr>
          </w:p>
        </w:tc>
        <w:tc>
          <w:tcPr>
            <w:tcW w:w="1328"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135" w:type="dxa"/>
          </w:tcPr>
          <w:p>
            <w:pPr>
              <w:rPr>
                <w:b/>
                <w:sz w:val="21"/>
                <w:szCs w:val="21"/>
              </w:rPr>
            </w:pPr>
          </w:p>
        </w:tc>
        <w:tc>
          <w:tcPr>
            <w:tcW w:w="1276" w:type="dxa"/>
          </w:tcPr>
          <w:p>
            <w:pPr>
              <w:rPr>
                <w:b/>
                <w:sz w:val="21"/>
                <w:szCs w:val="21"/>
              </w:rPr>
            </w:pPr>
          </w:p>
        </w:tc>
        <w:tc>
          <w:tcPr>
            <w:tcW w:w="2835" w:type="dxa"/>
          </w:tcPr>
          <w:p>
            <w:pPr>
              <w:rPr>
                <w:b/>
                <w:sz w:val="21"/>
                <w:szCs w:val="21"/>
              </w:rPr>
            </w:pPr>
          </w:p>
        </w:tc>
        <w:tc>
          <w:tcPr>
            <w:tcW w:w="1418" w:type="dxa"/>
            <w:gridSpan w:val="3"/>
          </w:tcPr>
          <w:p>
            <w:pPr>
              <w:rPr>
                <w:b/>
                <w:sz w:val="21"/>
                <w:szCs w:val="21"/>
              </w:rPr>
            </w:pPr>
          </w:p>
        </w:tc>
        <w:tc>
          <w:tcPr>
            <w:tcW w:w="1328"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135" w:type="dxa"/>
            <w:vAlign w:val="center"/>
          </w:tcPr>
          <w:p>
            <w:pPr>
              <w:jc w:val="center"/>
              <w:rPr>
                <w:b/>
                <w:sz w:val="21"/>
                <w:szCs w:val="21"/>
              </w:rPr>
            </w:pPr>
            <w:r>
              <w:rPr>
                <w:rFonts w:hint="eastAsia"/>
                <w:b/>
                <w:sz w:val="21"/>
                <w:szCs w:val="21"/>
              </w:rPr>
              <w:t>角色</w:t>
            </w:r>
          </w:p>
        </w:tc>
        <w:tc>
          <w:tcPr>
            <w:tcW w:w="6857"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135" w:type="dxa"/>
            <w:vAlign w:val="center"/>
          </w:tcPr>
          <w:p>
            <w:pPr>
              <w:jc w:val="center"/>
              <w:rPr>
                <w:b/>
                <w:sz w:val="21"/>
                <w:szCs w:val="21"/>
              </w:rPr>
            </w:pPr>
          </w:p>
        </w:tc>
        <w:tc>
          <w:tcPr>
            <w:tcW w:w="6857"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135" w:type="dxa"/>
            <w:vAlign w:val="center"/>
          </w:tcPr>
          <w:p>
            <w:pPr>
              <w:jc w:val="center"/>
              <w:rPr>
                <w:b/>
              </w:rPr>
            </w:pPr>
          </w:p>
        </w:tc>
        <w:tc>
          <w:tcPr>
            <w:tcW w:w="6857"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135" w:type="dxa"/>
            <w:vAlign w:val="center"/>
          </w:tcPr>
          <w:p>
            <w:pPr>
              <w:jc w:val="center"/>
              <w:rPr>
                <w:b/>
              </w:rPr>
            </w:pPr>
          </w:p>
        </w:tc>
        <w:tc>
          <w:tcPr>
            <w:tcW w:w="6857"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sz w:val="20"/>
        </w:rPr>
        <w:t>■</w:t>
      </w:r>
      <w:r>
        <w:rPr>
          <w:rFonts w:hint="eastAsia"/>
          <w:b/>
          <w:sz w:val="21"/>
          <w:szCs w:val="21"/>
        </w:rPr>
        <w:t>保持认证注册资格：__________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  不适用条款: 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26"/>
          <w:szCs w:val="26"/>
        </w:rPr>
      </w:pPr>
    </w:p>
    <w:p>
      <w:pPr>
        <w:tabs>
          <w:tab w:val="left" w:pos="645"/>
        </w:tabs>
        <w:rPr>
          <w:b/>
          <w:sz w:val="26"/>
          <w:szCs w:val="26"/>
        </w:rPr>
      </w:pPr>
      <w:r>
        <w:rPr>
          <w:rFonts w:hint="eastAsia"/>
          <w:b/>
          <w:sz w:val="26"/>
          <w:szCs w:val="26"/>
        </w:rPr>
        <w:t>四、受审核方基本信息</w:t>
      </w:r>
    </w:p>
    <w:p>
      <w:pPr>
        <w:tabs>
          <w:tab w:val="left" w:pos="645"/>
        </w:tabs>
        <w:rPr>
          <w:b/>
          <w:sz w:val="26"/>
          <w:szCs w:val="26"/>
        </w:rPr>
      </w:pPr>
    </w:p>
    <w:p>
      <w:pPr>
        <w:tabs>
          <w:tab w:val="left" w:pos="645"/>
        </w:tabs>
        <w:rPr>
          <w:b/>
          <w:sz w:val="16"/>
          <w:szCs w:val="16"/>
        </w:rPr>
      </w:pP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502"/>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21"/>
              </w:rPr>
            </w:pPr>
            <w:r>
              <w:rPr>
                <w:rFonts w:hint="eastAsia" w:ascii="宋体"/>
                <w:b/>
                <w:sz w:val="21"/>
              </w:rPr>
              <w:t>受审核方名称</w:t>
            </w:r>
          </w:p>
        </w:tc>
        <w:tc>
          <w:tcPr>
            <w:tcW w:w="4416" w:type="dxa"/>
            <w:gridSpan w:val="4"/>
          </w:tcPr>
          <w:p>
            <w:pPr>
              <w:spacing w:line="260" w:lineRule="exact"/>
              <w:rPr>
                <w:rFonts w:ascii="宋体"/>
                <w:b/>
                <w:sz w:val="21"/>
              </w:rPr>
            </w:pPr>
            <w:bookmarkStart w:id="10" w:name="组织名称Add"/>
            <w:r>
              <w:rPr>
                <w:rFonts w:ascii="宋体"/>
                <w:b/>
                <w:sz w:val="21"/>
              </w:rPr>
              <w:t>山东博琅教育科技有限公司</w:t>
            </w:r>
            <w:bookmarkEnd w:id="10"/>
          </w:p>
        </w:tc>
        <w:tc>
          <w:tcPr>
            <w:tcW w:w="1502" w:type="dxa"/>
            <w:vAlign w:val="center"/>
          </w:tcPr>
          <w:p>
            <w:pPr>
              <w:spacing w:line="260" w:lineRule="exact"/>
              <w:jc w:val="center"/>
              <w:rPr>
                <w:rFonts w:ascii="宋体"/>
                <w:b/>
                <w:sz w:val="21"/>
              </w:rPr>
            </w:pPr>
            <w:r>
              <w:rPr>
                <w:rFonts w:hint="eastAsia" w:ascii="宋体"/>
                <w:b/>
                <w:sz w:val="21"/>
              </w:rPr>
              <w:t>组织人数及</w:t>
            </w:r>
          </w:p>
          <w:p>
            <w:pPr>
              <w:spacing w:line="200" w:lineRule="exact"/>
              <w:rPr>
                <w:rFonts w:ascii="宋体"/>
                <w:b/>
                <w:sz w:val="21"/>
              </w:rPr>
            </w:pPr>
            <w:r>
              <w:rPr>
                <w:rFonts w:hint="eastAsia" w:ascii="宋体"/>
                <w:b/>
                <w:sz w:val="21"/>
              </w:rPr>
              <w:t>变动情况核实</w:t>
            </w:r>
          </w:p>
        </w:tc>
        <w:tc>
          <w:tcPr>
            <w:tcW w:w="1670" w:type="dxa"/>
          </w:tcPr>
          <w:p>
            <w:pPr>
              <w:spacing w:line="260" w:lineRule="exact"/>
              <w:rPr>
                <w:rFonts w:ascii="宋体"/>
                <w:b/>
                <w:sz w:val="21"/>
              </w:rPr>
            </w:pPr>
            <w:r>
              <w:rPr>
                <w:rFonts w:ascii="宋体"/>
                <w:b/>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rFonts w:ascii="宋体"/>
                <w:b/>
                <w:sz w:val="21"/>
              </w:rPr>
            </w:pPr>
            <w:r>
              <w:rPr>
                <w:rFonts w:hint="eastAsia" w:ascii="宋体"/>
                <w:b/>
                <w:sz w:val="21"/>
              </w:rPr>
              <w:t>注册地址</w:t>
            </w:r>
          </w:p>
        </w:tc>
        <w:tc>
          <w:tcPr>
            <w:tcW w:w="4416" w:type="dxa"/>
            <w:gridSpan w:val="4"/>
          </w:tcPr>
          <w:p>
            <w:pPr>
              <w:rPr>
                <w:rFonts w:ascii="宋体"/>
                <w:b/>
                <w:sz w:val="21"/>
              </w:rPr>
            </w:pPr>
            <w:bookmarkStart w:id="11" w:name="注册地址"/>
            <w:r>
              <w:rPr>
                <w:rFonts w:ascii="宋体"/>
                <w:b/>
                <w:sz w:val="21"/>
              </w:rPr>
              <w:t>菏泽市开发区济南路666号科技孵化器17号楼B座</w:t>
            </w:r>
            <w:bookmarkEnd w:id="11"/>
          </w:p>
        </w:tc>
        <w:tc>
          <w:tcPr>
            <w:tcW w:w="1502" w:type="dxa"/>
            <w:vMerge w:val="restart"/>
            <w:vAlign w:val="center"/>
          </w:tcPr>
          <w:p>
            <w:pPr>
              <w:jc w:val="center"/>
              <w:rPr>
                <w:rFonts w:ascii="宋体"/>
                <w:b/>
                <w:sz w:val="21"/>
              </w:rPr>
            </w:pPr>
            <w:r>
              <w:rPr>
                <w:rFonts w:hint="eastAsia" w:ascii="宋体"/>
                <w:b/>
                <w:sz w:val="21"/>
              </w:rPr>
              <w:t>邮编</w:t>
            </w:r>
          </w:p>
        </w:tc>
        <w:tc>
          <w:tcPr>
            <w:tcW w:w="1670" w:type="dxa"/>
          </w:tcPr>
          <w:p>
            <w:pPr>
              <w:rPr>
                <w:rFonts w:ascii="宋体"/>
                <w:b/>
                <w:sz w:val="21"/>
              </w:rPr>
            </w:pPr>
            <w:bookmarkStart w:id="12" w:name="注册邮编"/>
            <w:r>
              <w:rPr>
                <w:rFonts w:ascii="宋体"/>
                <w:b/>
                <w:sz w:val="21"/>
              </w:rPr>
              <w:t>274000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菏泽市开发区济南路666号科技孵化器17号楼B座</w:t>
            </w:r>
            <w:bookmarkEnd w:id="13"/>
          </w:p>
        </w:tc>
        <w:tc>
          <w:tcPr>
            <w:tcW w:w="1502" w:type="dxa"/>
            <w:vMerge w:val="continue"/>
            <w:vAlign w:val="center"/>
          </w:tcPr>
          <w:p>
            <w:pPr>
              <w:jc w:val="center"/>
              <w:rPr>
                <w:rFonts w:ascii="宋体"/>
                <w:b/>
                <w:sz w:val="21"/>
              </w:rPr>
            </w:pPr>
          </w:p>
        </w:tc>
        <w:tc>
          <w:tcPr>
            <w:tcW w:w="1670" w:type="dxa"/>
          </w:tcPr>
          <w:p>
            <w:pPr>
              <w:rPr>
                <w:rFonts w:ascii="宋体"/>
                <w:b/>
                <w:sz w:val="21"/>
              </w:rPr>
            </w:pPr>
            <w:bookmarkStart w:id="14" w:name="办公邮编"/>
            <w:r>
              <w:rPr>
                <w:rFonts w:ascii="宋体"/>
                <w:b/>
                <w:sz w:val="21"/>
              </w:rPr>
              <w:t>274000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p>
        </w:tc>
        <w:tc>
          <w:tcPr>
            <w:tcW w:w="1502" w:type="dxa"/>
            <w:vMerge w:val="continue"/>
            <w:vAlign w:val="center"/>
          </w:tcPr>
          <w:p>
            <w:pPr>
              <w:jc w:val="center"/>
              <w:rPr>
                <w:rFonts w:ascii="宋体"/>
                <w:b/>
                <w:sz w:val="21"/>
              </w:rPr>
            </w:pPr>
          </w:p>
        </w:tc>
        <w:tc>
          <w:tcPr>
            <w:tcW w:w="1670" w:type="dxa"/>
          </w:tcPr>
          <w:p>
            <w:pPr>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5" w:name="联系人"/>
            <w:r>
              <w:rPr>
                <w:rFonts w:ascii="宋体"/>
                <w:b/>
                <w:sz w:val="21"/>
              </w:rPr>
              <w:t>王允</w:t>
            </w:r>
            <w:bookmarkEnd w:id="15"/>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17563705588</w:t>
            </w:r>
            <w:bookmarkEnd w:id="16"/>
          </w:p>
        </w:tc>
        <w:tc>
          <w:tcPr>
            <w:tcW w:w="1502" w:type="dxa"/>
            <w:vAlign w:val="center"/>
          </w:tcPr>
          <w:p>
            <w:pPr>
              <w:jc w:val="center"/>
              <w:rPr>
                <w:rFonts w:ascii="宋体"/>
                <w:b/>
                <w:sz w:val="21"/>
              </w:rPr>
            </w:pPr>
            <w:r>
              <w:rPr>
                <w:rFonts w:hint="eastAsia" w:ascii="宋体" w:hAnsi="宋体"/>
                <w:b/>
                <w:sz w:val="21"/>
              </w:rPr>
              <w:t>传真</w:t>
            </w:r>
          </w:p>
        </w:tc>
        <w:tc>
          <w:tcPr>
            <w:tcW w:w="167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8" w:name="法人"/>
            <w:r>
              <w:rPr>
                <w:rFonts w:ascii="宋体" w:hAnsi="宋体"/>
                <w:b/>
                <w:sz w:val="21"/>
                <w:szCs w:val="21"/>
              </w:rPr>
              <w:t>王允</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bookmarkStart w:id="19" w:name="管理者代表"/>
            <w:r>
              <w:rPr>
                <w:rFonts w:ascii="宋体"/>
                <w:b/>
                <w:sz w:val="21"/>
              </w:rPr>
              <w:t>王允</w:t>
            </w:r>
            <w:bookmarkEnd w:id="19"/>
          </w:p>
        </w:tc>
        <w:tc>
          <w:tcPr>
            <w:tcW w:w="1502" w:type="dxa"/>
            <w:vAlign w:val="center"/>
          </w:tcPr>
          <w:p>
            <w:pPr>
              <w:jc w:val="center"/>
              <w:rPr>
                <w:rFonts w:ascii="宋体" w:hAnsi="宋体"/>
                <w:b/>
                <w:sz w:val="21"/>
                <w:szCs w:val="21"/>
              </w:rPr>
            </w:pPr>
            <w:r>
              <w:rPr>
                <w:rFonts w:hint="eastAsia" w:ascii="宋体" w:hAnsi="宋体"/>
                <w:b/>
                <w:sz w:val="21"/>
                <w:szCs w:val="21"/>
              </w:rPr>
              <w:t>管理者代表</w:t>
            </w:r>
          </w:p>
        </w:tc>
        <w:tc>
          <w:tcPr>
            <w:tcW w:w="1670" w:type="dxa"/>
          </w:tcPr>
          <w:p>
            <w:pPr>
              <w:rPr>
                <w:rFonts w:ascii="宋体"/>
                <w:b/>
                <w:sz w:val="21"/>
              </w:rPr>
            </w:pPr>
            <w:r>
              <w:rPr>
                <w:rFonts w:hint="eastAsia" w:ascii="宋体"/>
                <w:b/>
                <w:sz w:val="21"/>
              </w:rPr>
              <w:t>张博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2021年01月25日 下午至2021年01月26日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QJ勾选Add1"/>
            <w:r>
              <w:rPr>
                <w:rFonts w:hint="eastAsia" w:ascii="宋体" w:hAnsi="宋体"/>
                <w:b/>
                <w:sz w:val="21"/>
                <w:szCs w:val="21"/>
              </w:rPr>
              <w:t>□</w:t>
            </w:r>
            <w:bookmarkEnd w:id="22"/>
            <w:r>
              <w:rPr>
                <w:rFonts w:hint="eastAsia" w:ascii="宋体" w:hAnsi="宋体"/>
                <w:b/>
                <w:sz w:val="21"/>
                <w:szCs w:val="21"/>
              </w:rPr>
              <w:t>5</w:t>
            </w:r>
            <w:r>
              <w:rPr>
                <w:rFonts w:ascii="宋体" w:hAnsi="宋体"/>
                <w:b/>
                <w:sz w:val="21"/>
                <w:szCs w:val="21"/>
              </w:rPr>
              <w:t>0430</w:t>
            </w:r>
            <w:r>
              <w:rPr>
                <w:sz w:val="18"/>
                <w:szCs w:val="18"/>
              </w:rPr>
              <w:t>科普仪器、教学仪器、实验室成套设备、综合实践室设备、探究仪器、幼儿玩具、厨房设备、音体美卫劳器材、多媒体教学设备、心理咨询室设施、课桌椅、床、学生校服、公寓用品、办公用品、办公家具、监控设备、玻璃仪器、仪器橱柜的销售</w:t>
            </w:r>
          </w:p>
          <w:p>
            <w:pPr>
              <w:spacing w:line="360" w:lineRule="exac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r>
              <w:rPr>
                <w:sz w:val="18"/>
                <w:szCs w:val="18"/>
              </w:rPr>
              <w:t>科普仪器、教学仪器、实验室成套设备、综合实践室设备、探究仪器、幼儿玩具、厨房设备、音体美卫劳器材、多媒体教学设备、心理咨询室设施、课桌椅、床、学生校服、公寓用品、办公用品、办公家具、监控设备、玻璃仪器、仪器橱柜的销售及所涉及场所的相关环境管理活动</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r>
              <w:rPr>
                <w:sz w:val="18"/>
                <w:szCs w:val="18"/>
              </w:rPr>
              <w:t>科普仪器、教学仪器、实验室成套设备、综合实践室设备、探究仪器、幼儿玩具、厨房设备、音体美卫劳器材、多媒体教学设备、心理咨询室设施、课桌椅、床、学生校服、公寓用品、办公用品、办公家具、监控设备、玻璃仪器、仪器橱柜的销售及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sz w:val="20"/>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Q：29.12.00</w:t>
            </w:r>
          </w:p>
          <w:p>
            <w:pPr>
              <w:spacing w:line="260" w:lineRule="exact"/>
              <w:rPr>
                <w:rFonts w:ascii="宋体" w:hAnsi="宋体"/>
                <w:b/>
                <w:sz w:val="21"/>
                <w:szCs w:val="21"/>
              </w:rPr>
            </w:pPr>
            <w:r>
              <w:rPr>
                <w:rFonts w:ascii="宋体" w:hAnsi="宋体"/>
                <w:b/>
                <w:sz w:val="21"/>
                <w:szCs w:val="21"/>
              </w:rPr>
              <w:t>E：29.12.00</w:t>
            </w:r>
          </w:p>
          <w:p>
            <w:pPr>
              <w:spacing w:line="260" w:lineRule="exact"/>
              <w:rPr>
                <w:rFonts w:ascii="宋体" w:hAnsi="宋体"/>
                <w:b/>
                <w:sz w:val="21"/>
                <w:szCs w:val="21"/>
              </w:rPr>
            </w:pPr>
            <w:r>
              <w:rPr>
                <w:rFonts w:ascii="宋体" w:hAnsi="宋体"/>
                <w:b/>
                <w:sz w:val="21"/>
                <w:szCs w:val="21"/>
              </w:rPr>
              <w:t>O：29.12.00</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p>
            <w:pPr>
              <w:spacing w:line="260" w:lineRule="exact"/>
              <w:rPr>
                <w:rFonts w:ascii="宋体" w:hAnsi="宋体"/>
                <w:b/>
                <w:sz w:val="21"/>
                <w:szCs w:val="21"/>
              </w:rPr>
            </w:pPr>
            <w:r>
              <w:rPr>
                <w:rFonts w:ascii="宋体" w:hAnsi="宋体"/>
                <w:b/>
                <w:sz w:val="21"/>
                <w:szCs w:val="21"/>
              </w:rPr>
              <w:t>2021.12.02</w:t>
            </w:r>
          </w:p>
        </w:tc>
        <w:tc>
          <w:tcPr>
            <w:tcW w:w="150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670" w:type="dxa"/>
          </w:tcPr>
          <w:p>
            <w:pPr>
              <w:spacing w:line="260" w:lineRule="exact"/>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2019.11.19-20</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w:t>
      </w:r>
      <w:r>
        <w:rPr>
          <w:rFonts w:ascii="宋体" w:hAnsi="宋体"/>
          <w:b/>
          <w:sz w:val="21"/>
          <w:szCs w:val="21"/>
        </w:rPr>
        <w:t>019</w:t>
      </w:r>
      <w:r>
        <w:rPr>
          <w:rFonts w:hint="eastAsia" w:ascii="宋体" w:hAnsi="宋体"/>
          <w:b/>
          <w:sz w:val="21"/>
          <w:szCs w:val="21"/>
        </w:rPr>
        <w:t>年1</w:t>
      </w:r>
      <w:r>
        <w:rPr>
          <w:rFonts w:ascii="宋体" w:hAnsi="宋体"/>
          <w:b/>
          <w:sz w:val="21"/>
          <w:szCs w:val="21"/>
        </w:rPr>
        <w:t>1</w:t>
      </w:r>
      <w:r>
        <w:rPr>
          <w:rFonts w:hint="eastAsia" w:ascii="宋体" w:hAnsi="宋体"/>
          <w:b/>
          <w:sz w:val="21"/>
          <w:szCs w:val="21"/>
        </w:rPr>
        <w:t>月</w:t>
      </w:r>
      <w:r>
        <w:rPr>
          <w:rFonts w:ascii="宋体" w:hAnsi="宋体"/>
          <w:b/>
          <w:sz w:val="21"/>
          <w:szCs w:val="21"/>
        </w:rPr>
        <w:t>20</w:t>
      </w:r>
      <w:r>
        <w:rPr>
          <w:rFonts w:hint="eastAsia" w:ascii="宋体" w:hAnsi="宋体"/>
          <w:b/>
          <w:sz w:val="21"/>
          <w:szCs w:val="21"/>
        </w:rPr>
        <w:t>日至2</w:t>
      </w:r>
      <w:r>
        <w:rPr>
          <w:rFonts w:ascii="宋体" w:hAnsi="宋体"/>
          <w:b/>
          <w:sz w:val="21"/>
          <w:szCs w:val="21"/>
        </w:rPr>
        <w:t>021</w:t>
      </w:r>
      <w:r>
        <w:rPr>
          <w:rFonts w:hint="eastAsia" w:ascii="宋体" w:hAnsi="宋体"/>
          <w:b/>
          <w:sz w:val="21"/>
          <w:szCs w:val="21"/>
        </w:rPr>
        <w:t>年1月2</w:t>
      </w:r>
      <w:r>
        <w:rPr>
          <w:rFonts w:ascii="宋体" w:hAnsi="宋体"/>
          <w:b/>
          <w:sz w:val="21"/>
          <w:szCs w:val="21"/>
        </w:rPr>
        <w:t>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00" w:lineRule="exact"/>
              <w:ind w:firstLine="420" w:firstLineChars="200"/>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领导层确定了本公司目标和战略方向，通过各部门收集信息、识别、分析和评价，会议讨论研究，明确了与本公司目标和战略方向相关的各种外部和内部因素。</w:t>
            </w:r>
          </w:p>
          <w:p>
            <w:pPr>
              <w:spacing w:line="300" w:lineRule="exact"/>
              <w:ind w:firstLine="420" w:firstLineChars="200"/>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领导层通过实施、策划“应对风险的机遇和措施”，明确了环境分析的职责，相应的准则，通过适宜的方法对这些内部和外部因素的相关信息进行监视和评审，确保充分识别风险，消除风险，降低或减缓风险，充分利用可能的发展机遇，保证实现企业效益和管理体系预期结果。</w:t>
            </w:r>
            <w:r>
              <w:rPr>
                <w:rFonts w:asciiTheme="minorEastAsia" w:hAnsiTheme="minorEastAsia" w:eastAsiaTheme="minorEastAsia"/>
                <w:sz w:val="21"/>
                <w:szCs w:val="21"/>
                <w:lang w:val="zh-CN"/>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spacing w:line="240" w:lineRule="exact"/>
              <w:rPr>
                <w:rFonts w:ascii="宋体" w:hAnsi="宋体"/>
                <w:b/>
                <w:sz w:val="21"/>
                <w:szCs w:val="21"/>
              </w:rPr>
            </w:pPr>
          </w:p>
          <w:p>
            <w:pPr>
              <w:spacing w:line="300" w:lineRule="exact"/>
              <w:ind w:firstLine="420" w:firstLineChars="200"/>
              <w:rPr>
                <w:rFonts w:asciiTheme="minorEastAsia" w:hAnsiTheme="minorEastAsia" w:eastAsiaTheme="minorEastAsia"/>
                <w:b/>
                <w:sz w:val="21"/>
                <w:szCs w:val="21"/>
              </w:rPr>
            </w:pPr>
            <w:r>
              <w:rPr>
                <w:rFonts w:hint="eastAsia" w:asciiTheme="minorEastAsia" w:hAnsiTheme="minorEastAsia" w:eastAsiaTheme="minorEastAsia"/>
                <w:sz w:val="21"/>
                <w:szCs w:val="21"/>
                <w:lang w:val="zh-CN"/>
              </w:rPr>
              <w:t>公司明确了影响企业绩效或受到企业经营影响的相关方,理解公司相关方的需求和期望，做到事先预防、合理规避和妥善处理公司各类经营风险和机遇，在管理体系过程中整合并实施风险和机遇所采取的措施，确保管理体系实现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1"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3.</w:t>
            </w:r>
            <w:r>
              <w:rPr>
                <w:rFonts w:hint="eastAsia" w:ascii="宋体" w:hAnsi="宋体"/>
                <w:b/>
                <w:sz w:val="21"/>
                <w:szCs w:val="21"/>
              </w:rPr>
              <w:t xml:space="preserve"> ■质量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00" w:lineRule="exact"/>
              <w:ind w:firstLine="420" w:firstLineChars="200"/>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管理方针满意变化：</w:t>
            </w:r>
          </w:p>
          <w:p>
            <w:pPr>
              <w:spacing w:line="300" w:lineRule="exact"/>
              <w:ind w:firstLine="420" w:firstLineChars="200"/>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做一流产品、创一流企业,</w:t>
            </w:r>
          </w:p>
          <w:p>
            <w:pPr>
              <w:spacing w:line="300" w:lineRule="exact"/>
              <w:ind w:firstLine="420" w:firstLineChars="200"/>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以优质的产品，不断满足顾客需求；</w:t>
            </w:r>
          </w:p>
          <w:p>
            <w:pPr>
              <w:spacing w:line="300" w:lineRule="exact"/>
              <w:ind w:firstLine="420" w:firstLineChars="200"/>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遵守环境法律法规，实现污染控制；</w:t>
            </w:r>
          </w:p>
          <w:p>
            <w:pPr>
              <w:spacing w:line="300" w:lineRule="exact"/>
              <w:ind w:firstLine="420" w:firstLineChars="200"/>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持续改进环境业绩，创建绿色企业；</w:t>
            </w:r>
          </w:p>
          <w:p>
            <w:pPr>
              <w:spacing w:line="300" w:lineRule="exact"/>
              <w:ind w:firstLine="420" w:firstLineChars="200"/>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以人为本、科学管理、控制风险、关爱健康。</w:t>
            </w:r>
          </w:p>
          <w:p>
            <w:pPr>
              <w:spacing w:line="300" w:lineRule="exact"/>
              <w:ind w:firstLine="420" w:firstLineChars="200"/>
              <w:rPr>
                <w:rFonts w:ascii="宋体" w:hAnsi="宋体"/>
                <w:b/>
                <w:sz w:val="21"/>
                <w:szCs w:val="21"/>
              </w:rPr>
            </w:pPr>
            <w:r>
              <w:rPr>
                <w:rFonts w:hint="eastAsia" w:asciiTheme="minorEastAsia" w:hAnsiTheme="minorEastAsia" w:eastAsiaTheme="minorEastAsia"/>
                <w:sz w:val="21"/>
                <w:szCs w:val="21"/>
                <w:lang w:val="zh-CN"/>
              </w:rPr>
              <w:t>在本公司内部会议进行宣讲、沟通，全体员工能够准确理解其含义并在工作中贯彻落实管理方针。在与相关方沟通时，可向相关方说明本公司管理方针。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spacing w:line="280" w:lineRule="exact"/>
              <w:rPr>
                <w:rFonts w:ascii="宋体" w:hAnsi="宋体"/>
                <w:b/>
                <w:sz w:val="21"/>
                <w:szCs w:val="21"/>
              </w:rPr>
            </w:pPr>
          </w:p>
          <w:p>
            <w:pPr>
              <w:spacing w:line="280" w:lineRule="exact"/>
              <w:ind w:firstLine="420" w:firstLineChars="200"/>
              <w:rPr>
                <w:rFonts w:ascii="宋体" w:hAnsi="宋体"/>
                <w:b/>
                <w:sz w:val="21"/>
                <w:szCs w:val="21"/>
              </w:rPr>
            </w:pPr>
            <w:r>
              <w:rPr>
                <w:rFonts w:hint="eastAsia" w:asciiTheme="minorEastAsia" w:hAnsiTheme="minorEastAsia" w:eastAsiaTheme="minorEastAsia"/>
                <w:sz w:val="21"/>
                <w:szCs w:val="21"/>
                <w:lang w:val="zh-CN"/>
              </w:rPr>
              <w:t>编制并执行《风险和机遇评估分析表》，策划风险和机遇及应对的措施，措施适当并基本得到有效实施，符合要求。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r>
              <w:rPr>
                <w:rFonts w:hint="eastAsia" w:ascii="宋体" w:hAnsi="宋体"/>
                <w:b/>
                <w:color w:val="000000" w:themeColor="text1"/>
                <w:sz w:val="20"/>
                <w:u w:val="single"/>
              </w:rPr>
              <w:t xml:space="preserve">   </w:t>
            </w:r>
            <w:r>
              <w:rPr>
                <w:rFonts w:hint="eastAsia" w:ascii="宋体" w:hAnsi="宋体"/>
                <w:color w:val="000000" w:themeColor="text1"/>
                <w:sz w:val="20"/>
                <w:u w:val="single"/>
              </w:rPr>
              <w:t>销售服务过程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 xml:space="preserve">需要确认过程 </w:t>
            </w:r>
            <w:r>
              <w:rPr>
                <w:rFonts w:ascii="宋体" w:hAnsi="宋体"/>
                <w:b/>
                <w:sz w:val="21"/>
                <w:szCs w:val="21"/>
                <w:u w:val="single"/>
              </w:rPr>
              <w:t xml:space="preserve"> </w:t>
            </w:r>
            <w:r>
              <w:rPr>
                <w:rFonts w:hint="eastAsia" w:ascii="宋体" w:hAnsi="宋体"/>
                <w:color w:val="000000" w:themeColor="text1"/>
                <w:sz w:val="20"/>
                <w:u w:val="single"/>
              </w:rPr>
              <w:t>销售服务过程</w:t>
            </w:r>
          </w:p>
          <w:p>
            <w:pPr>
              <w:tabs>
                <w:tab w:val="left" w:pos="540"/>
              </w:tabs>
              <w:spacing w:line="300" w:lineRule="exact"/>
              <w:ind w:left="211" w:hanging="211" w:hangingChars="100"/>
              <w:rPr>
                <w:rFonts w:ascii="宋体" w:hAnsi="宋体"/>
                <w:b/>
                <w:color w:val="000000" w:themeColor="text1"/>
                <w:sz w:val="20"/>
              </w:rPr>
            </w:pPr>
            <w:r>
              <w:rPr>
                <w:rFonts w:hint="eastAsia" w:ascii="宋体" w:hAnsi="宋体"/>
                <w:b/>
                <w:sz w:val="21"/>
                <w:szCs w:val="21"/>
              </w:rPr>
              <w:t>删减条款是</w:t>
            </w:r>
            <w:r>
              <w:rPr>
                <w:rFonts w:hint="eastAsia" w:ascii="宋体" w:hAnsi="宋体"/>
                <w:color w:val="000000" w:themeColor="text1"/>
                <w:sz w:val="20"/>
                <w:u w:val="single"/>
              </w:rPr>
              <w:t>8.3条款</w:t>
            </w:r>
            <w:r>
              <w:rPr>
                <w:rFonts w:hint="eastAsia" w:ascii="宋体" w:hAnsi="宋体"/>
                <w:color w:val="000000" w:themeColor="text1"/>
                <w:sz w:val="20"/>
              </w:rPr>
              <w:t xml:space="preserve">  ，</w:t>
            </w:r>
            <w:r>
              <w:rPr>
                <w:rFonts w:hint="eastAsia" w:ascii="宋体" w:hAnsi="宋体"/>
                <w:b/>
                <w:color w:val="000000" w:themeColor="text1"/>
                <w:sz w:val="20"/>
              </w:rPr>
              <w:t>不适用理由：</w:t>
            </w:r>
            <w:r>
              <w:rPr>
                <w:rFonts w:hint="eastAsia" w:ascii="宋体" w:hAnsi="宋体"/>
                <w:color w:val="000000" w:themeColor="text1"/>
                <w:sz w:val="20"/>
                <w:u w:val="single"/>
              </w:rPr>
              <w:t>按照标准和客户要求销售，不需再进行设计开发，删减适宜。</w:t>
            </w:r>
            <w:r>
              <w:rPr>
                <w:rFonts w:hint="eastAsia" w:ascii="宋体" w:hAnsi="宋体"/>
                <w:b/>
                <w:color w:val="000000" w:themeColor="text1"/>
                <w:sz w:val="20"/>
              </w:rPr>
              <w:t xml:space="preserve">    </w:t>
            </w:r>
            <w:r>
              <w:rPr>
                <w:rFonts w:hint="eastAsia" w:ascii="宋体" w:hAnsi="宋体"/>
                <w:bCs/>
                <w:color w:val="000000" w:themeColor="text1"/>
                <w:sz w:val="20"/>
              </w:rPr>
              <w:t xml:space="preserve">                          </w:t>
            </w:r>
            <w:r>
              <w:rPr>
                <w:rFonts w:hint="eastAsia" w:ascii="宋体" w:hAnsi="宋体"/>
                <w:b/>
                <w:color w:val="000000" w:themeColor="text1"/>
                <w:sz w:val="20"/>
              </w:rPr>
              <w:t xml:space="preserve">                      </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 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80" w:lineRule="exact"/>
              <w:ind w:firstLine="420" w:firstLineChars="200"/>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在采购、销售、质检、仓储、运输、交付、日常办公等过程能使用生命周期观点和方法识别环境因素并加以管理。</w:t>
            </w:r>
          </w:p>
          <w:p>
            <w:pPr>
              <w:spacing w:line="280" w:lineRule="exact"/>
              <w:ind w:firstLine="420" w:firstLineChars="200"/>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识别了办公、销售、质检等过程的环境因素，动态更新，评价出的重要环境因素包括：固体废弃物排放、火灾隐患等。</w:t>
            </w:r>
          </w:p>
          <w:p>
            <w:pPr>
              <w:spacing w:line="280" w:lineRule="exact"/>
              <w:ind w:firstLine="420" w:firstLineChars="200"/>
              <w:rPr>
                <w:rFonts w:ascii="宋体" w:hAnsi="宋体"/>
                <w:b/>
                <w:sz w:val="21"/>
                <w:szCs w:val="21"/>
              </w:rPr>
            </w:pPr>
            <w:r>
              <w:rPr>
                <w:rFonts w:hint="eastAsia" w:asciiTheme="minorEastAsia" w:hAnsiTheme="minorEastAsia" w:eastAsiaTheme="minorEastAsia"/>
                <w:sz w:val="21"/>
                <w:szCs w:val="21"/>
                <w:lang w:val="zh-CN"/>
              </w:rPr>
              <w:t>公司通过制定目标、管理方案、应急预案、日常检查与控制等方法，对环境因素进行控制，同时针对重要环境因素、风险和机遇及环境目标，制定了措施方案，措施方案按计划实施。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80" w:lineRule="exact"/>
              <w:ind w:firstLine="420" w:firstLineChars="200"/>
              <w:rPr>
                <w:rFonts w:hint="eastAsia"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本公司制定并实施《危险源辨识、风险评价和风险控制程序》，</w:t>
            </w:r>
            <w:r>
              <w:rPr>
                <w:rFonts w:hint="eastAsia" w:asciiTheme="minorEastAsia" w:hAnsiTheme="minorEastAsia" w:eastAsiaTheme="minorEastAsia"/>
                <w:sz w:val="21"/>
                <w:szCs w:val="21"/>
                <w:lang w:val="zh-CN"/>
              </w:rPr>
              <w:t>识别了办公、销售、质检等过程的危险源，动态更新，确定的重大危险源，包括：触电、火灾、人身伤害等。</w:t>
            </w:r>
          </w:p>
          <w:p>
            <w:pPr>
              <w:spacing w:line="280" w:lineRule="exact"/>
              <w:ind w:firstLine="420" w:firstLineChars="200"/>
              <w:rPr>
                <w:rFonts w:ascii="宋体" w:hAnsi="宋体"/>
                <w:b/>
                <w:sz w:val="21"/>
                <w:szCs w:val="21"/>
              </w:rPr>
            </w:pPr>
            <w:r>
              <w:rPr>
                <w:rFonts w:hint="eastAsia" w:asciiTheme="minorEastAsia" w:hAnsiTheme="minorEastAsia" w:eastAsiaTheme="minorEastAsia"/>
                <w:sz w:val="21"/>
                <w:szCs w:val="21"/>
                <w:lang w:val="zh-CN"/>
              </w:rPr>
              <w:t>公司通过制定目标、管理方案、应急预案、日常检查与控制等方法，对危险源、重大危险源进行控制，针对重大危险源、职业健康安全目标，制了措施方案，措施方案按计划实施。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5"/>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获取法律法规项，■法律法规获取充分</w:t>
            </w:r>
          </w:p>
          <w:p>
            <w:pPr>
              <w:pStyle w:val="15"/>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服务■环境因素■危险源，■确定□未确定法律法规要求的具体条款，</w:t>
            </w:r>
          </w:p>
          <w:p>
            <w:pPr>
              <w:pStyle w:val="15"/>
              <w:numPr>
                <w:ilvl w:val="0"/>
                <w:numId w:val="1"/>
              </w:numPr>
              <w:tabs>
                <w:tab w:val="left" w:pos="540"/>
              </w:tabs>
              <w:spacing w:line="300" w:lineRule="exact"/>
              <w:ind w:firstLineChars="0"/>
              <w:rPr>
                <w:rFonts w:asciiTheme="minorEastAsia" w:hAnsiTheme="minorEastAsia" w:eastAsiaTheme="minorEastAsia"/>
                <w:szCs w:val="21"/>
                <w:lang w:val="zh-CN"/>
              </w:rPr>
            </w:pPr>
            <w:r>
              <w:rPr>
                <w:rFonts w:hint="eastAsia" w:ascii="宋体" w:hAnsi="宋体"/>
                <w:b/>
                <w:szCs w:val="21"/>
              </w:rPr>
              <w:t>法律法规的宣传方式：</w:t>
            </w:r>
            <w:r>
              <w:rPr>
                <w:rFonts w:hint="eastAsia" w:asciiTheme="minorEastAsia" w:hAnsiTheme="minorEastAsia" w:eastAsiaTheme="minorEastAsia"/>
                <w:szCs w:val="21"/>
                <w:lang w:val="zh-CN"/>
              </w:rPr>
              <w:t>通过培训、内部网络、开会、发文件等形式将法律法规要求传达给了员工和相关方。</w:t>
            </w:r>
          </w:p>
          <w:p>
            <w:pPr>
              <w:pStyle w:val="15"/>
              <w:numPr>
                <w:ilvl w:val="0"/>
                <w:numId w:val="1"/>
              </w:numPr>
              <w:tabs>
                <w:tab w:val="left" w:pos="540"/>
              </w:tabs>
              <w:spacing w:line="300" w:lineRule="exact"/>
              <w:ind w:firstLineChars="0"/>
              <w:rPr>
                <w:rFonts w:hint="eastAsia" w:ascii="宋体" w:hAnsi="宋体"/>
                <w:b/>
                <w:szCs w:val="21"/>
              </w:rPr>
            </w:pPr>
            <w:r>
              <w:rPr>
                <w:rFonts w:hint="eastAsia" w:ascii="宋体" w:hAnsi="宋体"/>
                <w:b/>
                <w:szCs w:val="21"/>
              </w:rPr>
              <w:t>法律法规要求及时更新了：</w:t>
            </w:r>
          </w:p>
          <w:p>
            <w:pPr>
              <w:spacing w:before="120" w:line="360" w:lineRule="auto"/>
              <w:ind w:firstLine="482" w:firstLineChars="200"/>
              <w:rPr>
                <w:rFonts w:ascii="方正仿宋简体" w:eastAsia="方正仿宋简体"/>
                <w:b/>
              </w:rPr>
            </w:pPr>
            <w:r>
              <w:rPr>
                <w:rFonts w:hint="eastAsia" w:ascii="方正仿宋简体" w:eastAsia="方正仿宋简体"/>
                <w:b/>
              </w:rPr>
              <w:t>提供公司适用法律法规和其他要求清单，其中国家危险废弃物名录未及时更新，未收集防控疫情适用的相关法律法规和其他要求，不符合要求，开具了不符合报告。</w:t>
            </w:r>
          </w:p>
          <w:p>
            <w:pPr>
              <w:pStyle w:val="15"/>
              <w:tabs>
                <w:tab w:val="left" w:pos="540"/>
              </w:tabs>
              <w:spacing w:line="300" w:lineRule="exact"/>
              <w:ind w:left="420" w:firstLine="0" w:firstLineChars="0"/>
              <w:rPr>
                <w:rFonts w:ascii="宋体" w:hAnsi="宋体"/>
                <w:b/>
                <w:szCs w:val="21"/>
              </w:rPr>
            </w:pP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80" w:lineRule="exact"/>
              <w:ind w:firstLine="420" w:firstLineChars="200"/>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管理目标：</w:t>
            </w:r>
            <w:r>
              <w:rPr>
                <w:rFonts w:hint="eastAsia" w:asciiTheme="minorEastAsia" w:hAnsiTheme="minorEastAsia" w:eastAsiaTheme="minorEastAsia"/>
                <w:sz w:val="21"/>
                <w:szCs w:val="21"/>
                <w:lang w:val="zh-CN"/>
              </w:rPr>
              <w:tab/>
            </w:r>
          </w:p>
          <w:p>
            <w:pPr>
              <w:spacing w:line="280" w:lineRule="exact"/>
              <w:ind w:firstLine="420" w:firstLineChars="200"/>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 xml:space="preserve"> 产品交付合格率100%；2．顾客满意度≧95%；3．固体废弃物有效处置率100%；4．无火灾事故发生；5．无触电事故发生；6．无人身伤害事故发生；</w:t>
            </w:r>
          </w:p>
          <w:p>
            <w:pPr>
              <w:spacing w:line="280" w:lineRule="exact"/>
              <w:ind w:firstLine="420" w:firstLineChars="200"/>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提供 “目标分解与考核表”、“目标、指标、管理方案一览表”等。目标已分解到各部门，有目标实现的措施和资源、考核方式、考核周期等要求。</w:t>
            </w:r>
          </w:p>
          <w:p>
            <w:pPr>
              <w:spacing w:line="300" w:lineRule="exact"/>
              <w:rPr>
                <w:rFonts w:ascii="宋体" w:hAnsi="宋体"/>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sz w:val="21"/>
                <w:szCs w:val="21"/>
              </w:rPr>
              <w:t>目标均达标。</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pStyle w:val="2"/>
              <w:ind w:firstLine="420" w:firstLineChars="200"/>
              <w:rPr>
                <w:rFonts w:ascii="宋体" w:hAnsi="宋体"/>
                <w:b/>
                <w:sz w:val="21"/>
                <w:szCs w:val="21"/>
              </w:rPr>
            </w:pPr>
            <w:r>
              <w:rPr>
                <w:rFonts w:hint="eastAsia" w:asciiTheme="minorEastAsia" w:hAnsiTheme="minorEastAsia" w:eastAsiaTheme="minorEastAsia"/>
                <w:sz w:val="21"/>
                <w:szCs w:val="21"/>
                <w:lang w:val="zh-CN"/>
              </w:rPr>
              <w:t>建立并执行文件和记录控制程序，有文件和记录清单，结合实际及时评审文件适宜性和充分性，本周期无变化。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sz w:val="21"/>
                <w:szCs w:val="21"/>
              </w:rPr>
            </w:pPr>
            <w:r>
              <w:rPr>
                <w:rFonts w:hint="eastAsia"/>
                <w:sz w:val="21"/>
                <w:szCs w:val="21"/>
              </w:rPr>
              <w:t>建立并执行人力资源管理程序，管理人员稳定，人员配备基本充足，对任职人员评价合格上岗；</w:t>
            </w:r>
          </w:p>
          <w:p>
            <w:pPr>
              <w:spacing w:line="300" w:lineRule="exact"/>
              <w:ind w:firstLine="420" w:firstLineChars="200"/>
              <w:rPr>
                <w:rFonts w:ascii="宋体" w:hAnsi="宋体"/>
                <w:b/>
                <w:sz w:val="21"/>
                <w:szCs w:val="21"/>
              </w:rPr>
            </w:pPr>
            <w:r>
              <w:rPr>
                <w:rFonts w:hint="eastAsia"/>
                <w:sz w:val="21"/>
                <w:szCs w:val="21"/>
              </w:rPr>
              <w:t>制定并实施培训计划，按期组织相关培训并对人员进行考核，确保持续满足岗位需求。</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ind w:firstLine="420" w:firstLineChars="200"/>
              <w:rPr>
                <w:rFonts w:ascii="宋体" w:hAnsi="宋体"/>
                <w:b/>
                <w:sz w:val="21"/>
                <w:szCs w:val="21"/>
              </w:rPr>
            </w:pPr>
            <w:r>
              <w:rPr>
                <w:rFonts w:hint="eastAsia"/>
                <w:sz w:val="21"/>
                <w:szCs w:val="21"/>
              </w:rPr>
              <w:t>主要设备有：电脑、打印机、网络、电话、打包机等设施设备，有办公室能满足要求，运行状态正常。</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sz w:val="21"/>
                <w:szCs w:val="21"/>
              </w:rPr>
            </w:pPr>
            <w:r>
              <w:rPr>
                <w:rFonts w:hint="eastAsia"/>
                <w:sz w:val="21"/>
                <w:szCs w:val="21"/>
              </w:rPr>
              <w:t>产品销售对环境没有特殊要求，空间较宽敞、光线较明亮，销售服务和办公环境干净、整洁。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ind w:firstLine="420" w:firstLineChars="200"/>
              <w:rPr>
                <w:rFonts w:ascii="宋体" w:hAnsi="宋体"/>
                <w:b/>
                <w:sz w:val="21"/>
                <w:szCs w:val="21"/>
              </w:rPr>
            </w:pPr>
            <w:r>
              <w:rPr>
                <w:rFonts w:hint="eastAsia"/>
                <w:sz w:val="21"/>
                <w:szCs w:val="21"/>
              </w:rPr>
              <w:t>采取查验产品外观、包装、合格证等方式，无需监视和测量设备，对检查表格进行了受控。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ind w:firstLine="420" w:firstLineChars="200"/>
              <w:rPr>
                <w:sz w:val="21"/>
                <w:szCs w:val="21"/>
              </w:rPr>
            </w:pPr>
            <w:r>
              <w:rPr>
                <w:rFonts w:hint="eastAsia"/>
                <w:sz w:val="21"/>
                <w:szCs w:val="21"/>
              </w:rPr>
              <w:t>企业运行过程所需的知识从内部来源获取的有：从项目中获得经验，日常改进结果，销售服务人员有以往多年工作经验，老员工负有对新员工进行的传帮带经验传授的职责，</w:t>
            </w:r>
            <w:r>
              <w:rPr>
                <w:sz w:val="21"/>
                <w:szCs w:val="21"/>
              </w:rPr>
              <w:t xml:space="preserve"> </w:t>
            </w:r>
          </w:p>
          <w:p>
            <w:pPr>
              <w:ind w:firstLine="420" w:firstLineChars="200"/>
              <w:rPr>
                <w:sz w:val="21"/>
                <w:szCs w:val="21"/>
              </w:rPr>
            </w:pPr>
            <w:r>
              <w:rPr>
                <w:rFonts w:hint="eastAsia"/>
                <w:sz w:val="21"/>
                <w:szCs w:val="21"/>
              </w:rPr>
              <w:t>外部来源获取有：标准、学术交流、专业会议；有关老师或专家传授的知识及所实施的培训及其专业经历；从顾客或外部供方的产品知识等。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p>
            <w:pPr>
              <w:spacing w:line="240" w:lineRule="exact"/>
              <w:rPr>
                <w:rFonts w:ascii="宋体" w:hAnsi="宋体"/>
                <w:b/>
                <w:sz w:val="21"/>
                <w:szCs w:val="21"/>
              </w:rPr>
            </w:pPr>
          </w:p>
          <w:p>
            <w:pPr>
              <w:spacing w:line="280" w:lineRule="exact"/>
              <w:ind w:firstLine="420" w:firstLineChars="200"/>
              <w:rPr>
                <w:rFonts w:ascii="宋体" w:hAnsi="宋体"/>
                <w:b/>
                <w:sz w:val="21"/>
                <w:szCs w:val="21"/>
              </w:rPr>
            </w:pPr>
            <w:r>
              <w:rPr>
                <w:rFonts w:hint="eastAsia" w:asciiTheme="minorEastAsia" w:hAnsiTheme="minorEastAsia" w:eastAsiaTheme="minorEastAsia"/>
                <w:sz w:val="21"/>
                <w:szCs w:val="21"/>
                <w:lang w:val="zh-CN"/>
              </w:rPr>
              <w:t>分类垃圾桶、节能灯。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p>
            <w:pPr>
              <w:spacing w:line="240" w:lineRule="exact"/>
              <w:rPr>
                <w:rFonts w:ascii="宋体" w:hAnsi="宋体"/>
                <w:b/>
                <w:sz w:val="21"/>
                <w:szCs w:val="21"/>
              </w:rPr>
            </w:pPr>
          </w:p>
          <w:p>
            <w:pPr>
              <w:spacing w:line="280" w:lineRule="exact"/>
              <w:ind w:firstLine="420" w:firstLineChars="200"/>
              <w:rPr>
                <w:rFonts w:ascii="宋体" w:hAnsi="宋体"/>
                <w:b/>
                <w:sz w:val="21"/>
                <w:szCs w:val="21"/>
              </w:rPr>
            </w:pPr>
            <w:r>
              <w:rPr>
                <w:rFonts w:hint="eastAsia" w:asciiTheme="minorEastAsia" w:hAnsiTheme="minorEastAsia" w:eastAsiaTheme="minorEastAsia"/>
                <w:sz w:val="21"/>
                <w:szCs w:val="21"/>
                <w:lang w:val="zh-CN"/>
              </w:rPr>
              <w:t>配备灭火器。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280" w:lineRule="exact"/>
              <w:ind w:firstLine="420" w:firstLineChars="200"/>
              <w:rPr>
                <w:rFonts w:ascii="宋体" w:hAnsi="宋体"/>
                <w:b/>
                <w:sz w:val="21"/>
                <w:szCs w:val="21"/>
              </w:rPr>
            </w:pPr>
            <w:r>
              <w:rPr>
                <w:rFonts w:hint="eastAsia" w:asciiTheme="minorEastAsia" w:hAnsiTheme="minorEastAsia" w:eastAsiaTheme="minorEastAsia"/>
                <w:sz w:val="21"/>
                <w:szCs w:val="21"/>
                <w:lang w:val="zh-CN"/>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rPr>
                <w:rFonts w:ascii="宋体" w:hAnsi="宋体"/>
                <w:b/>
                <w:sz w:val="21"/>
                <w:szCs w:val="21"/>
              </w:rPr>
            </w:pPr>
            <w:r>
              <w:rPr>
                <w:rFonts w:hint="eastAsia" w:ascii="宋体" w:hAnsi="宋体"/>
                <w:b/>
                <w:sz w:val="21"/>
                <w:szCs w:val="21"/>
              </w:rPr>
              <w:t>内部沟通的情况：内部沟通方式：</w:t>
            </w:r>
            <w:r>
              <w:rPr>
                <w:rFonts w:hint="eastAsia"/>
                <w:sz w:val="21"/>
                <w:szCs w:val="21"/>
              </w:rPr>
              <w:t>培训、会议；</w:t>
            </w:r>
          </w:p>
          <w:p>
            <w:pPr>
              <w:rPr>
                <w:rFonts w:ascii="宋体" w:hAnsi="宋体"/>
                <w:b/>
                <w:sz w:val="21"/>
                <w:szCs w:val="21"/>
              </w:rPr>
            </w:pPr>
            <w:r>
              <w:rPr>
                <w:rFonts w:hint="eastAsia" w:ascii="宋体" w:hAnsi="宋体"/>
                <w:b/>
                <w:sz w:val="21"/>
                <w:szCs w:val="21"/>
              </w:rPr>
              <w:t>内部沟通的效果：</w:t>
            </w:r>
            <w:r>
              <w:rPr>
                <w:rFonts w:hint="eastAsia"/>
                <w:sz w:val="21"/>
                <w:szCs w:val="21"/>
              </w:rPr>
              <w:t>沟通畅通；</w:t>
            </w:r>
          </w:p>
          <w:p>
            <w:pPr>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sz w:val="21"/>
                <w:szCs w:val="21"/>
              </w:rPr>
              <w:t>定期组织顾客满意度调查和走访。</w:t>
            </w:r>
          </w:p>
          <w:p>
            <w:pPr>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sz w:val="21"/>
                <w:szCs w:val="21"/>
              </w:rPr>
              <w:t>参加相关部门组织的会议，接收相关部门下达的通知并在公司内部沟通传达。</w:t>
            </w:r>
          </w:p>
          <w:p>
            <w:pPr>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sz w:val="21"/>
                <w:szCs w:val="21"/>
              </w:rPr>
              <w:t>对供方进行了环保告知。</w:t>
            </w: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ind w:firstLine="420" w:firstLineChars="200"/>
              <w:rPr>
                <w:rFonts w:asciiTheme="minorEastAsia" w:hAnsiTheme="minorEastAsia" w:eastAsiaTheme="minorEastAsia"/>
                <w:sz w:val="21"/>
                <w:szCs w:val="21"/>
                <w:lang w:val="zh-CN"/>
              </w:rPr>
            </w:pPr>
            <w:r>
              <w:rPr>
                <w:rFonts w:hint="eastAsia"/>
                <w:sz w:val="21"/>
                <w:szCs w:val="21"/>
              </w:rPr>
              <w:t>公司经选举确定了员工代表是武佩佩</w:t>
            </w:r>
            <w:r>
              <w:rPr>
                <w:rFonts w:hint="eastAsia" w:asciiTheme="minorEastAsia" w:hAnsiTheme="minorEastAsia" w:eastAsiaTheme="minorEastAsia"/>
                <w:sz w:val="21"/>
                <w:szCs w:val="21"/>
                <w:lang w:val="zh-CN"/>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sz w:val="21"/>
                <w:szCs w:val="21"/>
              </w:rPr>
              <w:t>对供方进行了安全告知。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ind w:firstLine="420" w:firstLineChars="200"/>
              <w:rPr>
                <w:rFonts w:hint="eastAsia" w:ascii="宋体" w:hAnsi="宋体" w:eastAsia="宋体" w:cs="宋体"/>
                <w:sz w:val="21"/>
                <w:szCs w:val="21"/>
                <w:lang w:eastAsia="zh-CN"/>
              </w:rPr>
            </w:pPr>
            <w:r>
              <w:rPr>
                <w:rFonts w:hint="eastAsia" w:ascii="宋体" w:hAnsi="宋体" w:cs="宋体"/>
                <w:sz w:val="21"/>
                <w:szCs w:val="21"/>
              </w:rPr>
              <w:t>公司主要从事科普仪器、教学仪器、实验室成套设备、综合实践室设备、探究仪器、幼儿玩具、厨房设备、音体美卫劳器材、多媒体教学设备、心理咨询室设施、课桌椅、床、学生校服、公寓用品、办公用品、办公家具、监控设备、玻璃仪器、仪器橱柜</w:t>
            </w:r>
            <w:r>
              <w:rPr>
                <w:rFonts w:hint="eastAsia" w:ascii="宋体" w:hAnsi="宋体" w:cs="宋体"/>
                <w:sz w:val="21"/>
                <w:szCs w:val="21"/>
              </w:rPr>
              <w:t>的销售</w:t>
            </w:r>
            <w:r>
              <w:rPr>
                <w:rFonts w:hint="eastAsia" w:ascii="宋体" w:hAnsi="宋体" w:cs="宋体"/>
                <w:sz w:val="21"/>
                <w:szCs w:val="21"/>
                <w:lang w:eastAsia="zh-CN"/>
              </w:rPr>
              <w:t>。</w:t>
            </w:r>
          </w:p>
          <w:p>
            <w:pPr>
              <w:jc w:val="left"/>
              <w:rPr>
                <w:rFonts w:ascii="宋体" w:hAnsi="宋体" w:cs="宋体"/>
                <w:sz w:val="21"/>
                <w:szCs w:val="21"/>
              </w:rPr>
            </w:pPr>
            <w:r>
              <w:rPr>
                <w:rFonts w:hint="eastAsia" w:ascii="宋体" w:hAnsi="宋体" w:cs="宋体"/>
                <w:sz w:val="21"/>
                <w:szCs w:val="21"/>
              </w:rPr>
              <w:t>销售流程为：</w:t>
            </w:r>
          </w:p>
          <w:p>
            <w:pPr>
              <w:ind w:firstLine="420" w:firstLineChars="200"/>
              <w:rPr>
                <w:rFonts w:ascii="宋体" w:hAnsi="宋体" w:cs="宋体"/>
                <w:sz w:val="21"/>
                <w:szCs w:val="21"/>
              </w:rPr>
            </w:pPr>
            <w:r>
              <w:rPr>
                <w:rFonts w:hint="eastAsia" w:ascii="宋体" w:hAnsi="宋体" w:cs="宋体"/>
                <w:sz w:val="21"/>
                <w:szCs w:val="21"/>
              </w:rPr>
              <w:t>招投标及业务洽谈→合同评审→采购→检验→入库→交付；</w:t>
            </w:r>
          </w:p>
          <w:p>
            <w:pPr>
              <w:ind w:firstLine="420" w:firstLineChars="200"/>
              <w:rPr>
                <w:rFonts w:ascii="宋体" w:hAnsi="宋体" w:cs="宋体"/>
                <w:sz w:val="21"/>
                <w:szCs w:val="21"/>
              </w:rPr>
            </w:pPr>
            <w:r>
              <w:rPr>
                <w:rFonts w:hint="eastAsia" w:ascii="宋体" w:hAnsi="宋体" w:cs="宋体"/>
                <w:sz w:val="21"/>
                <w:szCs w:val="21"/>
              </w:rPr>
              <w:t>特殊过程是销售服务，提供特殊过程的《特殊过程确认记录》，对销售过程进行了过程确认。</w:t>
            </w:r>
          </w:p>
          <w:p>
            <w:pPr>
              <w:ind w:firstLine="420" w:firstLineChars="200"/>
              <w:rPr>
                <w:rFonts w:ascii="宋体" w:hAnsi="宋体" w:cs="宋体"/>
                <w:sz w:val="21"/>
                <w:szCs w:val="21"/>
              </w:rPr>
            </w:pPr>
            <w:r>
              <w:rPr>
                <w:rFonts w:hint="eastAsia" w:ascii="宋体" w:hAnsi="宋体" w:cs="宋体"/>
                <w:sz w:val="21"/>
                <w:szCs w:val="21"/>
              </w:rPr>
              <w:t>对供方进行调查评价合格后实施采购，公司依据客户订单，下达采购计划，进行销售服务、质量及管理工作协调。通过采购产品检验、销售过程检验等对产品质量、销售服务质量等进行监控。</w:t>
            </w:r>
          </w:p>
          <w:p>
            <w:pPr>
              <w:ind w:firstLine="420" w:firstLineChars="200"/>
              <w:rPr>
                <w:rFonts w:ascii="宋体" w:hAnsi="宋体" w:cs="宋体"/>
                <w:sz w:val="21"/>
                <w:szCs w:val="21"/>
              </w:rPr>
            </w:pPr>
            <w:r>
              <w:rPr>
                <w:rFonts w:hint="eastAsia" w:ascii="宋体" w:hAnsi="宋体" w:cs="宋体"/>
                <w:sz w:val="21"/>
                <w:szCs w:val="21"/>
              </w:rPr>
              <w:t>为销售服务过程提供了适宜的设备及环境，配备了胜任的人员。</w:t>
            </w:r>
          </w:p>
          <w:p>
            <w:pPr>
              <w:spacing w:line="240" w:lineRule="exact"/>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ind w:firstLine="420" w:firstLineChars="200"/>
              <w:rPr>
                <w:rFonts w:ascii="宋体" w:hAnsi="宋体" w:cs="宋体"/>
                <w:sz w:val="21"/>
                <w:szCs w:val="21"/>
              </w:rPr>
            </w:pPr>
            <w:r>
              <w:rPr>
                <w:rFonts w:hint="eastAsia" w:ascii="宋体" w:hAnsi="宋体" w:cs="宋体"/>
                <w:sz w:val="21"/>
                <w:szCs w:val="21"/>
              </w:rPr>
              <w:t>国家行业标准主要有：《教学仪器行业标准汇编》GB/T3325-2017、《教学仪器设备产品一般质量要求》JY 0001－2003、《教学仪器设备产品的检验规则》JY 0002－2003、《实验室仪器和设备质量检验规则》GB/T 29252-2012、《家用和类似用途电器的安全》GB4706.1-2005和客户要求。</w:t>
            </w:r>
          </w:p>
          <w:p>
            <w:pPr>
              <w:ind w:firstLine="420" w:firstLineChars="200"/>
              <w:rPr>
                <w:rFonts w:ascii="宋体" w:hAnsi="宋体" w:cs="宋体"/>
                <w:sz w:val="21"/>
                <w:szCs w:val="21"/>
              </w:rPr>
            </w:pPr>
            <w:r>
              <w:rPr>
                <w:rFonts w:hint="eastAsia" w:ascii="宋体" w:hAnsi="宋体" w:cs="宋体"/>
                <w:sz w:val="21"/>
                <w:szCs w:val="21"/>
              </w:rPr>
              <w:t>提供了产品检验记录，产品检验合格，满足顾客要求。</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b/>
                <w:sz w:val="21"/>
                <w:szCs w:val="21"/>
              </w:rPr>
            </w:pPr>
            <w:r>
              <w:rPr>
                <w:rFonts w:hint="eastAsia" w:ascii="宋体"/>
                <w:b/>
                <w:sz w:val="21"/>
                <w:szCs w:val="21"/>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80" w:lineRule="exact"/>
              <w:ind w:firstLine="420" w:firstLineChars="200"/>
              <w:rPr>
                <w:rFonts w:asciiTheme="minorEastAsia" w:hAnsiTheme="minorEastAsia" w:eastAsiaTheme="minorEastAsia"/>
                <w:sz w:val="21"/>
                <w:szCs w:val="21"/>
                <w:lang w:val="zh-CN"/>
              </w:rPr>
            </w:pPr>
          </w:p>
          <w:p>
            <w:pPr>
              <w:spacing w:line="280" w:lineRule="exact"/>
              <w:ind w:firstLine="420" w:firstLineChars="200"/>
              <w:rPr>
                <w:rFonts w:ascii="宋体" w:hAnsi="宋体"/>
                <w:b/>
                <w:sz w:val="21"/>
                <w:szCs w:val="21"/>
              </w:rPr>
            </w:pPr>
            <w:r>
              <w:rPr>
                <w:rFonts w:hint="eastAsia" w:asciiTheme="minorEastAsia" w:hAnsiTheme="minorEastAsia" w:eastAsiaTheme="minorEastAsia"/>
                <w:sz w:val="21"/>
                <w:szCs w:val="21"/>
                <w:lang w:val="zh-CN"/>
              </w:rPr>
              <w:t>制定并执行不合格品控制程序，对不合格品进行了有效控制。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numPr>
                <w:ilvl w:val="0"/>
                <w:numId w:val="2"/>
              </w:numPr>
              <w:spacing w:line="280" w:lineRule="exact"/>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废水管控：企业无工业废水，厂区生活废水流入市政管网。</w:t>
            </w:r>
          </w:p>
          <w:p>
            <w:pPr>
              <w:numPr>
                <w:ilvl w:val="0"/>
                <w:numId w:val="2"/>
              </w:numPr>
              <w:spacing w:line="280" w:lineRule="exact"/>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废气管控：无废气排放。</w:t>
            </w:r>
          </w:p>
          <w:p>
            <w:pPr>
              <w:numPr>
                <w:ilvl w:val="0"/>
                <w:numId w:val="2"/>
              </w:numPr>
              <w:spacing w:line="280" w:lineRule="exact"/>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噪声管控：无噪声排放。</w:t>
            </w:r>
          </w:p>
          <w:p>
            <w:pPr>
              <w:numPr>
                <w:ilvl w:val="0"/>
                <w:numId w:val="2"/>
              </w:numPr>
              <w:spacing w:line="280" w:lineRule="exact"/>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固废管控：办公废旧硒鼓/墨盒，由供应商回收。生活垃圾由当地环卫所处理，公司缴纳处理费。</w:t>
            </w:r>
          </w:p>
          <w:p>
            <w:pPr>
              <w:numPr>
                <w:ilvl w:val="0"/>
                <w:numId w:val="2"/>
              </w:numPr>
              <w:spacing w:line="280" w:lineRule="exact"/>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能源资源管控：注意节水、节电，人走关闭设备和照明开关，现场未发现有漏水和浪费电能的现象。</w:t>
            </w:r>
          </w:p>
          <w:p>
            <w:pPr>
              <w:numPr>
                <w:ilvl w:val="0"/>
                <w:numId w:val="2"/>
              </w:numPr>
              <w:spacing w:line="280" w:lineRule="exact"/>
              <w:rPr>
                <w:rFonts w:asciiTheme="minorEastAsia" w:hAnsiTheme="minorEastAsia" w:eastAsiaTheme="minorEastAsia"/>
                <w:sz w:val="21"/>
                <w:szCs w:val="21"/>
                <w:lang w:val="zh-CN"/>
              </w:rPr>
            </w:pPr>
            <w:r>
              <w:rPr>
                <w:rFonts w:hint="eastAsia" w:asciiTheme="minorEastAsia" w:hAnsiTheme="minorEastAsia" w:eastAsiaTheme="minorEastAsia"/>
                <w:sz w:val="21"/>
                <w:szCs w:val="21"/>
                <w:lang w:val="zh-CN"/>
              </w:rPr>
              <w:t>产品生命周期的环境管控：公司采购产品时已考虑了产品的环保性（包括其包装），严格按照环保等管理制度实施，控制好辅助材料的用量，避免浪费，生命周期终了时废旧钢材、塑料还可以回收再利用。</w:t>
            </w:r>
          </w:p>
          <w:p>
            <w:pPr>
              <w:numPr>
                <w:ilvl w:val="0"/>
                <w:numId w:val="2"/>
              </w:numPr>
              <w:spacing w:line="280" w:lineRule="exact"/>
              <w:rPr>
                <w:rFonts w:ascii="宋体" w:hAnsi="宋体"/>
                <w:b/>
                <w:sz w:val="21"/>
                <w:szCs w:val="21"/>
              </w:rPr>
            </w:pPr>
            <w:r>
              <w:rPr>
                <w:rFonts w:hint="eastAsia" w:asciiTheme="minorEastAsia" w:hAnsiTheme="minorEastAsia" w:eastAsiaTheme="minorEastAsia"/>
                <w:sz w:val="21"/>
                <w:szCs w:val="21"/>
                <w:lang w:val="zh-CN"/>
              </w:rPr>
              <w:t>对相关方进行了环保要求告知。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p>
            <w:pPr>
              <w:numPr>
                <w:ilvl w:val="0"/>
                <w:numId w:val="3"/>
              </w:numPr>
              <w:jc w:val="left"/>
              <w:rPr>
                <w:rFonts w:ascii="宋体" w:hAnsi="宋体" w:cs="宋体"/>
                <w:sz w:val="21"/>
                <w:szCs w:val="21"/>
              </w:rPr>
            </w:pPr>
            <w:r>
              <w:rPr>
                <w:rFonts w:hint="eastAsia" w:ascii="宋体" w:hAnsi="宋体" w:cs="宋体"/>
                <w:sz w:val="21"/>
                <w:szCs w:val="21"/>
              </w:rPr>
              <w:t>潜在火灾管控：配备灭火器、存放场禁烟火。</w:t>
            </w:r>
          </w:p>
          <w:p>
            <w:pPr>
              <w:numPr>
                <w:ilvl w:val="0"/>
                <w:numId w:val="3"/>
              </w:numPr>
              <w:jc w:val="left"/>
              <w:rPr>
                <w:rFonts w:ascii="宋体" w:hAnsi="宋体" w:cs="宋体"/>
                <w:sz w:val="21"/>
                <w:szCs w:val="21"/>
              </w:rPr>
            </w:pPr>
            <w:r>
              <w:rPr>
                <w:rFonts w:hint="eastAsia" w:ascii="宋体" w:hAnsi="宋体" w:cs="宋体"/>
                <w:sz w:val="21"/>
                <w:szCs w:val="21"/>
              </w:rPr>
              <w:t>安全防护：公司给员工发放手套、口罩、工作服等劳保用品，现场电线布线合理，漏电保护器状态良好。</w:t>
            </w:r>
          </w:p>
          <w:p>
            <w:pPr>
              <w:numPr>
                <w:ilvl w:val="0"/>
                <w:numId w:val="3"/>
              </w:numPr>
              <w:jc w:val="left"/>
              <w:rPr>
                <w:rFonts w:ascii="宋体" w:hAnsi="宋体" w:cs="宋体"/>
                <w:sz w:val="21"/>
                <w:szCs w:val="21"/>
              </w:rPr>
            </w:pPr>
            <w:r>
              <w:rPr>
                <w:rFonts w:hint="eastAsia" w:ascii="宋体" w:hAnsi="宋体" w:cs="宋体"/>
                <w:sz w:val="21"/>
                <w:szCs w:val="21"/>
              </w:rPr>
              <w:t>员工进行职业健康安全教育，日常监督安全标准操作，为主要长期员工上社保、工伤保险。</w:t>
            </w:r>
          </w:p>
          <w:p>
            <w:pPr>
              <w:numPr>
                <w:ilvl w:val="0"/>
                <w:numId w:val="3"/>
              </w:numPr>
              <w:jc w:val="left"/>
              <w:rPr>
                <w:rFonts w:ascii="宋体" w:hAnsi="宋体" w:cs="宋体"/>
                <w:sz w:val="21"/>
                <w:szCs w:val="21"/>
              </w:rPr>
            </w:pPr>
            <w:r>
              <w:rPr>
                <w:rFonts w:hint="eastAsia" w:ascii="宋体" w:hAnsi="宋体" w:cs="宋体"/>
                <w:sz w:val="21"/>
                <w:szCs w:val="21"/>
              </w:rPr>
              <w:t>为职业健康安全管理体系运行提供了财务支持，及时维护检修用电设施确保正常。</w:t>
            </w:r>
          </w:p>
          <w:p>
            <w:pPr>
              <w:numPr>
                <w:ilvl w:val="0"/>
                <w:numId w:val="3"/>
              </w:numPr>
              <w:spacing w:line="240" w:lineRule="exact"/>
              <w:rPr>
                <w:rFonts w:ascii="宋体" w:hAnsi="宋体" w:cs="宋体"/>
                <w:sz w:val="21"/>
                <w:szCs w:val="21"/>
              </w:rPr>
            </w:pPr>
            <w:r>
              <w:rPr>
                <w:rFonts w:hint="eastAsia" w:ascii="宋体" w:hAnsi="宋体" w:cs="宋体"/>
                <w:sz w:val="21"/>
                <w:szCs w:val="21"/>
              </w:rPr>
              <w:t>员工饮用水为纯净水通过饮水机饮用。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numPr>
                <w:numId w:val="0"/>
              </w:numPr>
              <w:ind w:left="420" w:leftChars="0"/>
              <w:jc w:val="left"/>
              <w:rPr>
                <w:rFonts w:hint="eastAsia" w:ascii="宋体" w:hAnsi="宋体" w:cs="宋体"/>
                <w:sz w:val="21"/>
                <w:szCs w:val="21"/>
              </w:rPr>
            </w:pPr>
            <w:r>
              <w:rPr>
                <w:rFonts w:hint="eastAsia" w:ascii="宋体" w:hAnsi="宋体" w:cs="宋体"/>
                <w:sz w:val="21"/>
                <w:szCs w:val="21"/>
              </w:rPr>
              <w:t>制定</w:t>
            </w:r>
            <w:r>
              <w:rPr>
                <w:rFonts w:hint="eastAsia" w:ascii="宋体" w:hAnsi="宋体" w:cs="宋体"/>
                <w:sz w:val="21"/>
                <w:szCs w:val="21"/>
              </w:rPr>
              <w:t>并执行火灾</w:t>
            </w:r>
            <w:r>
              <w:rPr>
                <w:rFonts w:hint="eastAsia" w:ascii="宋体" w:hAnsi="宋体" w:cs="宋体"/>
                <w:sz w:val="21"/>
                <w:szCs w:val="21"/>
              </w:rPr>
              <w:t>、触电</w:t>
            </w:r>
            <w:r>
              <w:rPr>
                <w:rFonts w:hint="eastAsia" w:ascii="宋体" w:hAnsi="宋体" w:cs="宋体"/>
                <w:sz w:val="21"/>
                <w:szCs w:val="21"/>
              </w:rPr>
              <w:t>、人身伤害等应急预案</w:t>
            </w:r>
            <w:r>
              <w:rPr>
                <w:rFonts w:hint="eastAsia" w:ascii="宋体" w:hAnsi="宋体" w:cs="宋体"/>
                <w:sz w:val="21"/>
                <w:szCs w:val="21"/>
              </w:rPr>
              <w:t>；</w:t>
            </w:r>
          </w:p>
          <w:p>
            <w:pPr>
              <w:numPr>
                <w:numId w:val="0"/>
              </w:numPr>
              <w:ind w:left="420" w:leftChars="0"/>
              <w:jc w:val="left"/>
              <w:rPr>
                <w:rFonts w:ascii="宋体" w:hAnsi="宋体"/>
                <w:b/>
                <w:sz w:val="21"/>
                <w:szCs w:val="21"/>
              </w:rPr>
            </w:pPr>
            <w:r>
              <w:rPr>
                <w:rFonts w:hint="eastAsia" w:ascii="宋体" w:hAnsi="宋体" w:cs="宋体"/>
                <w:sz w:val="21"/>
                <w:szCs w:val="21"/>
              </w:rPr>
              <w:t>查公司2020.6.11日上午日进行了火灾应急预案演练，演练后对应急预案的充分性和可操作性进行了评价，基本适宜、可操作，对演练效果评价达到目标要求。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315" w:firstLineChars="150"/>
              <w:jc w:val="left"/>
              <w:rPr>
                <w:rFonts w:ascii="宋体" w:hAnsi="宋体"/>
                <w:b/>
                <w:sz w:val="21"/>
                <w:szCs w:val="21"/>
              </w:rPr>
            </w:pPr>
            <w:r>
              <w:rPr>
                <w:rFonts w:hint="eastAsia" w:ascii="宋体" w:hAnsi="宋体" w:cs="宋体"/>
                <w:sz w:val="21"/>
                <w:szCs w:val="21"/>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ind w:left="240" w:leftChars="100" w:firstLine="105" w:firstLineChars="50"/>
              <w:jc w:val="left"/>
              <w:rPr>
                <w:rFonts w:ascii="宋体" w:hAnsi="宋体"/>
                <w:b/>
                <w:sz w:val="21"/>
                <w:szCs w:val="21"/>
              </w:rPr>
            </w:pPr>
            <w:r>
              <w:rPr>
                <w:rFonts w:ascii="宋体" w:hAnsi="宋体"/>
                <w:b/>
                <w:sz w:val="21"/>
                <w:szCs w:val="21"/>
              </w:rPr>
              <w:t xml:space="preserve"> </w:t>
            </w:r>
            <w:r>
              <w:rPr>
                <w:rFonts w:hint="eastAsia" w:ascii="宋体" w:hAnsi="宋体" w:cs="宋体"/>
                <w:sz w:val="21"/>
                <w:szCs w:val="21"/>
              </w:rPr>
              <w:t>公司无危险化学品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ind w:left="240" w:leftChars="100" w:firstLine="105" w:firstLineChars="50"/>
              <w:jc w:val="left"/>
              <w:rPr>
                <w:rFonts w:ascii="宋体" w:hAnsi="宋体"/>
                <w:sz w:val="21"/>
                <w:szCs w:val="21"/>
              </w:rPr>
            </w:pPr>
          </w:p>
          <w:p>
            <w:pPr>
              <w:ind w:firstLine="420" w:firstLineChars="200"/>
              <w:jc w:val="left"/>
              <w:rPr>
                <w:rFonts w:ascii="宋体" w:hAnsi="宋体" w:cs="宋体"/>
                <w:sz w:val="21"/>
                <w:szCs w:val="21"/>
              </w:rPr>
            </w:pPr>
            <w:r>
              <w:rPr>
                <w:rFonts w:hint="eastAsia" w:ascii="宋体" w:hAnsi="宋体" w:cs="宋体"/>
                <w:sz w:val="21"/>
                <w:szCs w:val="21"/>
              </w:rPr>
              <w:t>每半年目标指标考核至少一次，2020.9.30日对质量/环境/职业健康安全目标指标进行了检查，均达标。</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p>
            <w:pPr>
              <w:ind w:firstLine="420" w:firstLineChars="200"/>
              <w:jc w:val="left"/>
              <w:rPr>
                <w:rFonts w:ascii="宋体" w:hAnsi="宋体" w:cs="宋体"/>
                <w:sz w:val="21"/>
                <w:szCs w:val="21"/>
              </w:rPr>
            </w:pPr>
            <w:r>
              <w:rPr>
                <w:rFonts w:hint="eastAsia" w:ascii="宋体" w:hAnsi="宋体" w:cs="宋体"/>
                <w:sz w:val="21"/>
                <w:szCs w:val="21"/>
              </w:rPr>
              <w:t>企业主要通过开展顾客满意度调查来收集并了解顾客满意的信息，</w:t>
            </w:r>
          </w:p>
          <w:p>
            <w:pPr>
              <w:ind w:firstLine="420" w:firstLineChars="200"/>
              <w:jc w:val="left"/>
              <w:rPr>
                <w:rFonts w:ascii="宋体" w:hAnsi="宋体"/>
                <w:b/>
                <w:sz w:val="21"/>
                <w:szCs w:val="21"/>
              </w:rPr>
            </w:pPr>
            <w:r>
              <w:rPr>
                <w:rFonts w:hint="eastAsia" w:ascii="宋体" w:hAnsi="宋体" w:cs="宋体"/>
                <w:sz w:val="21"/>
                <w:szCs w:val="21"/>
              </w:rPr>
              <w:t>向顾客发放满意程度调查表：调查表从产品质量、价格、交付时间、售后服务等方面对顾客满意度进行了调查，统计结果表明顾客满意率为96%，达到了公司质量目标。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每年一次，本次2020.10.19-20日日内审。</w:t>
            </w:r>
          </w:p>
          <w:p>
            <w:pPr>
              <w:spacing w:line="240" w:lineRule="exact"/>
              <w:rPr>
                <w:b/>
                <w:color w:val="000000" w:themeColor="text1"/>
                <w:sz w:val="21"/>
                <w:szCs w:val="21"/>
              </w:rPr>
            </w:pPr>
            <w:r>
              <w:rPr>
                <w:rFonts w:hint="eastAsia"/>
                <w:b/>
                <w:color w:val="000000" w:themeColor="text1"/>
                <w:sz w:val="21"/>
                <w:szCs w:val="21"/>
              </w:rPr>
              <w:t xml:space="preserve">了解内审是否覆盖了管理体系范围内的活动及标准的要求; </w:t>
            </w:r>
          </w:p>
          <w:p>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覆盖。</w:t>
            </w:r>
          </w:p>
          <w:p>
            <w:pPr>
              <w:spacing w:line="240" w:lineRule="exact"/>
              <w:rPr>
                <w:b/>
                <w:color w:val="000000" w:themeColor="text1"/>
                <w:sz w:val="21"/>
                <w:szCs w:val="21"/>
              </w:rPr>
            </w:pPr>
            <w:r>
              <w:rPr>
                <w:rFonts w:hint="eastAsia"/>
                <w:b/>
                <w:color w:val="000000" w:themeColor="text1"/>
                <w:sz w:val="21"/>
                <w:szCs w:val="21"/>
              </w:rPr>
              <w:t>了解内审结论是什么？</w:t>
            </w:r>
          </w:p>
          <w:p>
            <w:pPr>
              <w:ind w:firstLine="420" w:firstLineChars="200"/>
              <w:jc w:val="left"/>
              <w:rPr>
                <w:rFonts w:ascii="宋体" w:hAnsi="宋体" w:cs="宋体"/>
                <w:sz w:val="21"/>
                <w:szCs w:val="21"/>
              </w:rPr>
            </w:pPr>
            <w:r>
              <w:rPr>
                <w:rFonts w:hint="eastAsia" w:ascii="宋体" w:hAnsi="宋体" w:cs="宋体"/>
                <w:sz w:val="21"/>
                <w:szCs w:val="21"/>
              </w:rPr>
              <w:t>本公司质量/环境/职业健康安全三合一管理体系符合公司管理手册、程序性文件、ISO9001:2015、ISO14001:2015、GB/T28001-2011的要求，管理体系是适宜、得到了有效实施。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b/>
                <w:color w:val="000000" w:themeColor="text1"/>
                <w:sz w:val="21"/>
                <w:szCs w:val="21"/>
              </w:rPr>
            </w:pPr>
            <w:r>
              <w:rPr>
                <w:rFonts w:hint="eastAsia"/>
                <w:b/>
                <w:color w:val="000000" w:themeColor="text1"/>
                <w:sz w:val="21"/>
                <w:szCs w:val="21"/>
              </w:rPr>
              <w:t xml:space="preserve">了解管理评审的策划; </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每年一次，2020.11.15日进行管理评审。</w:t>
            </w:r>
          </w:p>
          <w:p>
            <w:pPr>
              <w:spacing w:line="240" w:lineRule="exact"/>
              <w:rPr>
                <w:b/>
                <w:color w:val="000000" w:themeColor="text1"/>
                <w:sz w:val="21"/>
                <w:szCs w:val="21"/>
              </w:rPr>
            </w:pPr>
            <w:r>
              <w:rPr>
                <w:rFonts w:hint="eastAsia"/>
                <w:b/>
                <w:color w:val="000000" w:themeColor="text1"/>
                <w:sz w:val="21"/>
                <w:szCs w:val="21"/>
              </w:rPr>
              <w:t xml:space="preserve">了解管理评审输入是否充分; </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输入基本充分。</w:t>
            </w:r>
          </w:p>
          <w:p>
            <w:pPr>
              <w:spacing w:line="240" w:lineRule="exact"/>
              <w:rPr>
                <w:b/>
                <w:color w:val="000000" w:themeColor="text1"/>
                <w:sz w:val="21"/>
                <w:szCs w:val="21"/>
              </w:rPr>
            </w:pPr>
            <w:r>
              <w:rPr>
                <w:rFonts w:hint="eastAsia"/>
                <w:b/>
                <w:color w:val="000000" w:themeColor="text1"/>
                <w:sz w:val="21"/>
                <w:szCs w:val="21"/>
              </w:rPr>
              <w:t xml:space="preserve">了解管理评审结论; </w:t>
            </w:r>
          </w:p>
          <w:p>
            <w:pPr>
              <w:ind w:firstLine="420" w:firstLineChars="200"/>
              <w:jc w:val="left"/>
              <w:rPr>
                <w:rFonts w:ascii="宋体" w:hAnsi="宋体"/>
                <w:b/>
                <w:sz w:val="21"/>
                <w:szCs w:val="21"/>
              </w:rPr>
            </w:pPr>
            <w:r>
              <w:rPr>
                <w:rFonts w:hint="eastAsia" w:ascii="宋体" w:hAnsi="宋体" w:cs="宋体"/>
                <w:sz w:val="21"/>
                <w:szCs w:val="21"/>
              </w:rPr>
              <w:t>管理体系文件是适宜、充分，方针和目标贯彻是有效的</w:t>
            </w:r>
            <w:r>
              <w:rPr>
                <w:rFonts w:hint="eastAsia" w:ascii="宋体" w:hAnsi="宋体" w:cs="宋体"/>
                <w:sz w:val="21"/>
                <w:szCs w:val="21"/>
                <w:lang w:eastAsia="zh-CN"/>
              </w:rPr>
              <w:t>；</w:t>
            </w:r>
            <w:r>
              <w:rPr>
                <w:rFonts w:hint="eastAsia" w:ascii="宋体" w:hAnsi="宋体" w:cs="宋体"/>
                <w:sz w:val="21"/>
                <w:szCs w:val="21"/>
              </w:rPr>
              <w:t>没有发生质量、环境和职业健康安全方面投诉，体系运行符合体系标准、法律法规和公司文件要求，公司管理体系基本适宜、充分和有效的，对运行中存在的问题根据实际情况及时纠正。</w:t>
            </w:r>
            <w:bookmarkStart w:id="26" w:name="_GoBack"/>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b/>
                <w:sz w:val="21"/>
                <w:szCs w:val="21"/>
              </w:rPr>
            </w:pPr>
          </w:p>
          <w:p>
            <w:pPr>
              <w:ind w:firstLine="420" w:firstLineChars="200"/>
              <w:jc w:val="left"/>
              <w:rPr>
                <w:rFonts w:ascii="宋体" w:hAnsi="宋体"/>
                <w:sz w:val="21"/>
                <w:szCs w:val="21"/>
              </w:rPr>
            </w:pPr>
            <w:r>
              <w:rPr>
                <w:rFonts w:hint="eastAsia" w:ascii="宋体" w:hAnsi="宋体" w:cs="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p>
            <w:pPr>
              <w:ind w:firstLine="420" w:firstLineChars="200"/>
              <w:jc w:val="left"/>
              <w:rPr>
                <w:rFonts w:ascii="宋体" w:hAnsi="宋体"/>
                <w:sz w:val="21"/>
                <w:szCs w:val="21"/>
              </w:rPr>
            </w:pPr>
            <w:r>
              <w:rPr>
                <w:rFonts w:hint="eastAsia" w:ascii="宋体" w:hAnsi="宋体" w:cs="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ind w:firstLine="420" w:firstLineChars="200"/>
              <w:jc w:val="left"/>
              <w:rPr>
                <w:rFonts w:ascii="宋体" w:hAnsi="宋体"/>
                <w:b/>
                <w:sz w:val="21"/>
                <w:szCs w:val="21"/>
              </w:rPr>
            </w:pPr>
            <w:r>
              <w:rPr>
                <w:rFonts w:hint="eastAsia" w:ascii="宋体" w:hAnsi="宋体" w:cs="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ind w:firstLine="420" w:firstLineChars="200"/>
              <w:jc w:val="left"/>
              <w:rPr>
                <w:rFonts w:ascii="宋体" w:hAnsi="宋体"/>
                <w:b/>
                <w:sz w:val="21"/>
                <w:szCs w:val="21"/>
              </w:rPr>
            </w:pPr>
            <w:r>
              <w:rPr>
                <w:rFonts w:hint="eastAsia" w:ascii="宋体" w:hAnsi="宋体" w:cs="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spacing w:line="240" w:lineRule="exact"/>
              <w:rPr>
                <w:rFonts w:ascii="宋体" w:hAnsi="宋体"/>
                <w:b/>
                <w:sz w:val="21"/>
                <w:szCs w:val="21"/>
              </w:rPr>
            </w:pPr>
          </w:p>
          <w:p>
            <w:pPr>
              <w:ind w:firstLine="420" w:firstLineChars="200"/>
              <w:jc w:val="left"/>
              <w:rPr>
                <w:rFonts w:ascii="宋体" w:hAnsi="宋体"/>
                <w:b/>
                <w:sz w:val="21"/>
                <w:szCs w:val="21"/>
              </w:rPr>
            </w:pPr>
            <w:r>
              <w:rPr>
                <w:rFonts w:hint="eastAsia" w:ascii="宋体" w:hAnsi="宋体" w:cs="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ind w:firstLine="420" w:firstLineChars="200"/>
              <w:jc w:val="left"/>
              <w:rPr>
                <w:rFonts w:ascii="宋体" w:hAnsi="宋体" w:cs="宋体"/>
                <w:sz w:val="21"/>
                <w:szCs w:val="21"/>
              </w:rPr>
            </w:pPr>
            <w:r>
              <w:rPr>
                <w:rFonts w:hint="eastAsia" w:ascii="宋体" w:hAnsi="宋体" w:cs="宋体"/>
                <w:sz w:val="21"/>
                <w:szCs w:val="21"/>
              </w:rPr>
              <w:t>企业自体系建立以来，通过内审的改进、管理评审；纠正措施的实施、顾客满意度调查等措施，采取了具体的改进措施。基本符合要求。</w:t>
            </w:r>
          </w:p>
          <w:p>
            <w:pPr>
              <w:ind w:firstLine="420" w:firstLineChars="200"/>
              <w:jc w:val="left"/>
              <w:rPr>
                <w:rFonts w:ascii="宋体" w:hAnsi="宋体"/>
                <w:b/>
                <w:sz w:val="21"/>
                <w:szCs w:val="21"/>
              </w:rPr>
            </w:pPr>
            <w:r>
              <w:rPr>
                <w:rFonts w:hint="eastAsia" w:ascii="宋体" w:hAnsi="宋体" w:cs="宋体"/>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ind w:firstLine="420" w:firstLineChars="200"/>
              <w:jc w:val="left"/>
              <w:rPr>
                <w:rFonts w:ascii="宋体" w:hAnsi="宋体"/>
                <w:b/>
                <w:sz w:val="21"/>
                <w:szCs w:val="21"/>
              </w:rPr>
            </w:pPr>
            <w:r>
              <w:rPr>
                <w:rFonts w:hint="eastAsia" w:ascii="宋体" w:hAnsi="宋体" w:cs="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spacing w:line="240" w:lineRule="exact"/>
              <w:rPr>
                <w:rFonts w:ascii="宋体" w:hAnsi="宋体"/>
                <w:b/>
                <w:sz w:val="21"/>
                <w:szCs w:val="21"/>
              </w:rPr>
            </w:pPr>
          </w:p>
          <w:p>
            <w:pPr>
              <w:ind w:firstLine="420" w:firstLineChars="200"/>
              <w:jc w:val="left"/>
              <w:rPr>
                <w:rFonts w:ascii="宋体" w:hAnsi="宋体"/>
                <w:b/>
                <w:sz w:val="21"/>
                <w:szCs w:val="21"/>
              </w:rPr>
            </w:pPr>
            <w:r>
              <w:rPr>
                <w:rFonts w:hint="eastAsia" w:ascii="宋体" w:hAnsi="宋体" w:cs="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ascii="宋体" w:hAnsi="宋体"/>
                <w:b/>
                <w:sz w:val="21"/>
                <w:szCs w:val="21"/>
              </w:rPr>
            </w:pPr>
          </w:p>
          <w:p>
            <w:pPr>
              <w:spacing w:line="280" w:lineRule="exact"/>
              <w:rPr>
                <w:rFonts w:ascii="宋体" w:hAnsi="宋体"/>
                <w:b/>
                <w:sz w:val="21"/>
                <w:szCs w:val="21"/>
              </w:rPr>
            </w:pPr>
            <w:r>
              <w:rPr>
                <w:rFonts w:hint="eastAsia" w:ascii="宋体" w:hAnsi="宋体" w:cs="宋体"/>
                <w:sz w:val="21"/>
                <w:szCs w:val="21"/>
              </w:rPr>
              <w:t>经现场查看，上次审核开具的一般不符合项（</w:t>
            </w:r>
            <w:r>
              <w:rPr>
                <w:rFonts w:hint="eastAsia" w:ascii="宋体" w:hAnsi="宋体" w:cs="宋体"/>
                <w:szCs w:val="21"/>
              </w:rPr>
              <w:t>E9.1.2</w:t>
            </w:r>
            <w:r>
              <w:rPr>
                <w:rFonts w:ascii="宋体" w:hAnsi="宋体" w:cs="宋体"/>
                <w:szCs w:val="21"/>
              </w:rPr>
              <w:t xml:space="preserve"> </w:t>
            </w:r>
            <w:r>
              <w:rPr>
                <w:rFonts w:hint="eastAsia" w:ascii="宋体" w:hAnsi="宋体" w:cs="宋体"/>
                <w:szCs w:val="21"/>
              </w:rPr>
              <w:t>O4.5.2）</w:t>
            </w:r>
            <w:r>
              <w:rPr>
                <w:rFonts w:hint="eastAsia" w:ascii="宋体" w:hAnsi="宋体" w:cs="宋体"/>
                <w:sz w:val="21"/>
                <w:szCs w:val="21"/>
              </w:rPr>
              <w:t>已有效整改，符合要求。</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本次审核共开具不符合项报告1项；其中</w:t>
      </w:r>
      <w:r>
        <w:rPr>
          <w:rFonts w:ascii="宋体" w:hAnsi="宋体"/>
          <w:b/>
          <w:szCs w:val="21"/>
        </w:rPr>
        <w:pict>
          <v:line id="直接连接符 1" o:spid="_x0000_s1028"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ascii="宋体" w:hAnsi="宋体"/>
          <w:b/>
          <w:szCs w:val="21"/>
        </w:rPr>
        <w:t>严重不符合0项，一般不符合1项，观察项0项分布在办公室部门E6.1.3/S4.3.2条款，见不符合项分布表。（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 w:val="21"/>
                <w:szCs w:val="21"/>
              </w:rPr>
              <w:t xml:space="preserve"> ■</w:t>
            </w:r>
            <w:r>
              <w:rPr>
                <w:rFonts w:ascii="宋体" w:hAnsi="宋体"/>
                <w:b/>
                <w:szCs w:val="21"/>
              </w:rPr>
              <w:t xml:space="preserve">QMS </w:t>
            </w:r>
            <w:r>
              <w:rPr>
                <w:rFonts w:hint="eastAsia" w:ascii="宋体" w:hAnsi="宋体"/>
                <w:b/>
                <w:szCs w:val="21"/>
              </w:rPr>
              <w:t>□50430</w:t>
            </w:r>
            <w:r>
              <w:rPr>
                <w:rFonts w:ascii="宋体" w:hAnsi="宋体"/>
                <w:b/>
                <w:szCs w:val="21"/>
              </w:rPr>
              <w:t xml:space="preserve"> </w:t>
            </w:r>
            <w:r>
              <w:rPr>
                <w:rFonts w:hint="eastAsia" w:ascii="宋体" w:hAnsi="宋体"/>
                <w:b/>
                <w:sz w:val="21"/>
                <w:szCs w:val="21"/>
              </w:rPr>
              <w:t>■</w:t>
            </w:r>
            <w:r>
              <w:rPr>
                <w:rFonts w:ascii="宋体" w:hAnsi="宋体"/>
                <w:b/>
                <w:szCs w:val="21"/>
              </w:rPr>
              <w:t xml:space="preserve">EMS  </w:t>
            </w:r>
            <w:r>
              <w:rPr>
                <w:rFonts w:hint="eastAsia" w:ascii="宋体" w:hAnsi="宋体"/>
                <w:b/>
                <w:sz w:val="21"/>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ind w:firstLine="420" w:firstLineChars="200"/>
              <w:jc w:val="left"/>
              <w:rPr>
                <w:rFonts w:ascii="宋体" w:hAnsi="宋体" w:cs="宋体"/>
                <w:sz w:val="21"/>
                <w:szCs w:val="21"/>
              </w:rPr>
            </w:pPr>
            <w:r>
              <w:rPr>
                <w:rFonts w:hint="eastAsia" w:ascii="宋体" w:hAnsi="宋体" w:cs="宋体"/>
                <w:sz w:val="21"/>
                <w:szCs w:val="21"/>
              </w:rPr>
              <w:t>组织建立并实施的管理体系基本符合标准要求，可能存在的重要风险可以得到有效控制，没有出现过质量、环境和安全事故以及相关方投诉事件发生，体系运行基本有效，组织初步建立了自我完善和自我改进机制。现场开具的不符合项在规定的期限内采取纠正措施并经审核组书面验证有效后，同意推荐保持认证注册资格。</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16" w:firstLineChars="150"/>
              <w:rPr>
                <w:rFonts w:ascii="宋体" w:hAnsi="宋体"/>
                <w:b/>
                <w:szCs w:val="21"/>
              </w:rPr>
            </w:pPr>
            <w:r>
              <w:rPr>
                <w:rFonts w:hint="eastAsia" w:ascii="宋体" w:hAnsi="宋体"/>
                <w:b/>
                <w:sz w:val="21"/>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 w:val="21"/>
                <w:szCs w:val="21"/>
              </w:rPr>
              <w:t>■</w:t>
            </w:r>
            <w:r>
              <w:rPr>
                <w:rFonts w:ascii="宋体" w:hAnsi="宋体"/>
                <w:b/>
                <w:szCs w:val="21"/>
              </w:rPr>
              <w:t>QMS</w:t>
            </w:r>
            <w:r>
              <w:rPr>
                <w:rFonts w:hint="eastAsia" w:ascii="宋体" w:hAnsi="宋体"/>
                <w:b/>
                <w:szCs w:val="21"/>
              </w:rPr>
              <w:t>□50430</w:t>
            </w:r>
            <w:r>
              <w:rPr>
                <w:rFonts w:ascii="宋体" w:hAnsi="宋体"/>
                <w:b/>
                <w:szCs w:val="21"/>
              </w:rPr>
              <w:t xml:space="preserve"> </w:t>
            </w:r>
            <w:r>
              <w:rPr>
                <w:rFonts w:hint="eastAsia" w:ascii="宋体" w:hAnsi="宋体"/>
                <w:b/>
                <w:sz w:val="21"/>
                <w:szCs w:val="21"/>
              </w:rPr>
              <w:t>■</w:t>
            </w:r>
            <w:r>
              <w:rPr>
                <w:rFonts w:ascii="宋体" w:hAnsi="宋体"/>
                <w:b/>
                <w:szCs w:val="21"/>
              </w:rPr>
              <w:t xml:space="preserve">EMS  </w:t>
            </w:r>
            <w:r>
              <w:rPr>
                <w:rFonts w:hint="eastAsia" w:ascii="宋体" w:hAnsi="宋体"/>
                <w:b/>
                <w:sz w:val="21"/>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sz w:val="22"/>
          <w:szCs w:val="22"/>
        </w:rPr>
        <w:drawing>
          <wp:anchor distT="0" distB="0" distL="114300" distR="114300" simplePos="0" relativeHeight="251662336" behindDoc="0" locked="0" layoutInCell="1" allowOverlap="1">
            <wp:simplePos x="0" y="0"/>
            <wp:positionH relativeFrom="column">
              <wp:posOffset>1595120</wp:posOffset>
            </wp:positionH>
            <wp:positionV relativeFrom="paragraph">
              <wp:posOffset>71120</wp:posOffset>
            </wp:positionV>
            <wp:extent cx="1252220" cy="508000"/>
            <wp:effectExtent l="0" t="0" r="0" b="0"/>
            <wp:wrapNone/>
            <wp:docPr id="1" name="图片 1" descr="C:\Users\wangg\AppData\Local\Temp\WeChat Files\e41587efb9f2686b61659cf0970d1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angg\AppData\Local\Temp\WeChat Files\e41587efb9f2686b61659cf0970d1e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60032" cy="51083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422" w:firstLineChars="200"/>
        <w:rPr>
          <w:b/>
          <w:sz w:val="21"/>
        </w:rPr>
      </w:pPr>
      <w:r>
        <w:rPr>
          <w:rFonts w:hint="eastAsia"/>
          <w:b/>
          <w:sz w:val="21"/>
        </w:rPr>
        <w:t>审核组组长（签名）：</w:t>
      </w:r>
    </w:p>
    <w:p>
      <w:pPr>
        <w:snapToGrid w:val="0"/>
        <w:spacing w:before="163" w:beforeLines="50" w:line="320" w:lineRule="exact"/>
        <w:ind w:firstLine="600" w:firstLineChars="250"/>
        <w:rPr>
          <w:b/>
          <w:sz w:val="21"/>
        </w:rPr>
      </w:pPr>
      <w:r>
        <w:drawing>
          <wp:anchor distT="0" distB="0" distL="114300" distR="114300" simplePos="0" relativeHeight="251661312" behindDoc="0" locked="0" layoutInCell="1" allowOverlap="1">
            <wp:simplePos x="0" y="0"/>
            <wp:positionH relativeFrom="column">
              <wp:posOffset>1624965</wp:posOffset>
            </wp:positionH>
            <wp:positionV relativeFrom="paragraph">
              <wp:posOffset>113030</wp:posOffset>
            </wp:positionV>
            <wp:extent cx="1083310" cy="5467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085067" cy="547511"/>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eastAsia"/>
          <w:b/>
          <w:sz w:val="21"/>
        </w:rPr>
      </w:pPr>
      <w:r>
        <w:rPr>
          <w:rFonts w:hint="eastAsia"/>
          <w:b/>
          <w:sz w:val="21"/>
        </w:rPr>
        <w:t>日期：2021.1.26</w:t>
      </w:r>
    </w:p>
    <w:p>
      <w:pPr>
        <w:snapToGrid w:val="0"/>
        <w:spacing w:line="280" w:lineRule="exact"/>
        <w:ind w:firstLine="6325" w:firstLineChars="3000"/>
        <w:rPr>
          <w:rFonts w:hint="eastAsia"/>
          <w:b/>
          <w:sz w:val="21"/>
        </w:rPr>
      </w:pPr>
    </w:p>
    <w:p>
      <w:pPr>
        <w:snapToGrid w:val="0"/>
        <w:spacing w:line="280" w:lineRule="exact"/>
        <w:ind w:firstLine="6325" w:firstLineChars="3000"/>
        <w:rPr>
          <w:b/>
          <w:sz w:val="21"/>
        </w:rPr>
      </w:pPr>
    </w:p>
    <w:p>
      <w:pPr>
        <w:snapToGrid w:val="0"/>
        <w:spacing w:line="280" w:lineRule="exact"/>
        <w:ind w:firstLine="6325" w:firstLineChars="3000"/>
        <w:rPr>
          <w:b/>
          <w:sz w:val="21"/>
        </w:rPr>
      </w:pP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ascii="宋体" w:hAnsi="宋体"/>
          <w:b/>
          <w:sz w:val="21"/>
          <w:szCs w:val="21"/>
        </w:rPr>
        <w:t>■</w:t>
      </w:r>
      <w:r>
        <w:rPr>
          <w:b/>
          <w:sz w:val="21"/>
          <w:szCs w:val="21"/>
        </w:rPr>
        <w:t>EMS (</w:t>
      </w:r>
      <w:r>
        <w:rPr>
          <w:rFonts w:hint="eastAsia"/>
          <w:b/>
          <w:sz w:val="21"/>
          <w:szCs w:val="21"/>
        </w:rPr>
        <w:t xml:space="preserve">  1  </w:t>
      </w:r>
      <w:r>
        <w:rPr>
          <w:b/>
          <w:sz w:val="21"/>
          <w:szCs w:val="21"/>
        </w:rPr>
        <w:t>)</w:t>
      </w:r>
      <w:r>
        <w:rPr>
          <w:rFonts w:hint="eastAsia"/>
          <w:b/>
          <w:sz w:val="21"/>
          <w:szCs w:val="21"/>
        </w:rPr>
        <w:t>个一般不符合，</w:t>
      </w:r>
      <w:r>
        <w:rPr>
          <w:b/>
          <w:sz w:val="21"/>
          <w:szCs w:val="21"/>
        </w:rPr>
        <w:t xml:space="preserve">( </w:t>
      </w:r>
      <w:r>
        <w:rPr>
          <w:rFonts w:hint="eastAsia"/>
          <w:b/>
          <w:sz w:val="21"/>
          <w:szCs w:val="21"/>
        </w:rPr>
        <w:t xml:space="preserve"> 0  </w:t>
      </w:r>
      <w:r>
        <w:rPr>
          <w:b/>
          <w:sz w:val="21"/>
          <w:szCs w:val="21"/>
        </w:rPr>
        <w:t>)</w:t>
      </w:r>
      <w:r>
        <w:rPr>
          <w:rFonts w:hint="eastAsia"/>
          <w:b/>
          <w:sz w:val="21"/>
          <w:szCs w:val="21"/>
        </w:rPr>
        <w:t>个严重不符合，</w:t>
      </w:r>
      <w:r>
        <w:rPr>
          <w:rFonts w:hint="eastAsia" w:ascii="宋体" w:hAnsi="宋体"/>
          <w:b/>
          <w:sz w:val="21"/>
          <w:szCs w:val="21"/>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ascii="宋体" w:hAnsi="宋体"/>
          <w:b/>
          <w:sz w:val="21"/>
          <w:szCs w:val="21"/>
        </w:rPr>
        <w:t>■</w:t>
      </w:r>
      <w:r>
        <w:rPr>
          <w:b/>
          <w:sz w:val="21"/>
          <w:szCs w:val="21"/>
        </w:rPr>
        <w:t xml:space="preserve">OHSMS ( </w:t>
      </w:r>
      <w:r>
        <w:rPr>
          <w:rFonts w:hint="eastAsia"/>
          <w:b/>
          <w:sz w:val="21"/>
          <w:szCs w:val="21"/>
        </w:rPr>
        <w:t xml:space="preserve">1 </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rPr>
        <w:t>0</w:t>
      </w:r>
      <w:r>
        <w:rPr>
          <w:b/>
          <w:sz w:val="21"/>
          <w:szCs w:val="21"/>
        </w:rPr>
        <w:t xml:space="preserve">  )</w:t>
      </w:r>
      <w:r>
        <w:rPr>
          <w:rFonts w:hint="eastAsia"/>
          <w:b/>
          <w:sz w:val="21"/>
          <w:szCs w:val="21"/>
        </w:rPr>
        <w:t>个严重不符合，</w:t>
      </w:r>
      <w:r>
        <w:rPr>
          <w:rFonts w:hint="eastAsia" w:ascii="宋体" w:hAnsi="宋体"/>
          <w:b/>
          <w:sz w:val="21"/>
          <w:szCs w:val="21"/>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rFonts w:hint="eastAsia"/>
          <w:b/>
          <w:sz w:val="21"/>
          <w:szCs w:val="21"/>
        </w:rPr>
      </w:pPr>
      <w:r>
        <w:rPr>
          <w:rFonts w:hint="eastAsia" w:ascii="宋体" w:hAnsi="宋体"/>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980" w:firstLineChars="900"/>
        <w:rPr>
          <w:b/>
          <w:sz w:val="21"/>
          <w:szCs w:val="21"/>
        </w:rPr>
      </w:pPr>
      <w:r>
        <w:rPr>
          <w:sz w:val="22"/>
          <w:szCs w:val="22"/>
        </w:rPr>
        <w:drawing>
          <wp:anchor distT="0" distB="0" distL="114300" distR="114300" simplePos="0" relativeHeight="251663360" behindDoc="0" locked="0" layoutInCell="1" allowOverlap="1">
            <wp:simplePos x="0" y="0"/>
            <wp:positionH relativeFrom="column">
              <wp:posOffset>1207770</wp:posOffset>
            </wp:positionH>
            <wp:positionV relativeFrom="paragraph">
              <wp:posOffset>123825</wp:posOffset>
            </wp:positionV>
            <wp:extent cx="1815465" cy="735330"/>
            <wp:effectExtent l="0" t="0" r="0" b="0"/>
            <wp:wrapNone/>
            <wp:docPr id="3" name="图片 3" descr="C:\Users\wangg\AppData\Local\Temp\WeChat Files\e41587efb9f2686b61659cf0970d1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wangg\AppData\Local\Temp\WeChat Files\e41587efb9f2686b61659cf0970d1e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15696" cy="735496"/>
                    </a:xfrm>
                    <a:prstGeom prst="rect">
                      <a:avLst/>
                    </a:prstGeom>
                    <a:noFill/>
                    <a:ln>
                      <a:noFill/>
                    </a:ln>
                  </pic:spPr>
                </pic:pic>
              </a:graphicData>
            </a:graphic>
          </wp:anchor>
        </w:drawing>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                                 日期：2021.3.1日</w:t>
      </w:r>
    </w:p>
    <w:p>
      <w:pPr>
        <w:tabs>
          <w:tab w:val="left" w:pos="6880"/>
          <w:tab w:val="left" w:pos="7740"/>
          <w:tab w:val="left" w:pos="8385"/>
        </w:tabs>
        <w:snapToGrid w:val="0"/>
        <w:spacing w:before="163" w:beforeLines="50"/>
        <w:ind w:firstLine="723" w:firstLineChars="343"/>
        <w:rPr>
          <w:rFonts w:hint="eastAsia"/>
          <w:b/>
          <w:sz w:val="21"/>
          <w:szCs w:val="21"/>
        </w:rPr>
      </w:pPr>
    </w:p>
    <w:p>
      <w:pPr>
        <w:tabs>
          <w:tab w:val="left" w:pos="6880"/>
          <w:tab w:val="left" w:pos="7740"/>
          <w:tab w:val="left" w:pos="8385"/>
        </w:tabs>
        <w:snapToGrid w:val="0"/>
        <w:spacing w:before="163" w:beforeLines="50"/>
        <w:ind w:firstLine="723" w:firstLineChars="343"/>
        <w:rPr>
          <w:b/>
          <w:sz w:val="21"/>
          <w:szCs w:val="21"/>
          <w:u w:val="single"/>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rFonts w:hint="eastAsia"/>
          <w:b/>
          <w:sz w:val="21"/>
        </w:rPr>
      </w:pPr>
      <w:r>
        <w:rPr>
          <w:rFonts w:hint="eastAsia"/>
          <w:b/>
          <w:sz w:val="21"/>
        </w:rPr>
        <w:t>北京国标联合认证有限公司</w:t>
      </w:r>
      <w:r>
        <w:rPr>
          <w:b/>
          <w:sz w:val="21"/>
        </w:rPr>
        <w:t>1</w:t>
      </w:r>
      <w:r>
        <w:rPr>
          <w:rFonts w:hint="eastAsia"/>
          <w:b/>
          <w:sz w:val="21"/>
        </w:rPr>
        <w:t>份</w:t>
      </w:r>
    </w:p>
    <w:p>
      <w:pPr>
        <w:snapToGrid w:val="0"/>
        <w:spacing w:line="320" w:lineRule="exact"/>
        <w:ind w:firstLine="316" w:firstLineChars="150"/>
        <w:rPr>
          <w:b/>
          <w:sz w:val="21"/>
        </w:rPr>
      </w:pP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imSun-Identity-H">
    <w:altName w:val="黑体"/>
    <w:panose1 w:val="00000000000000000000"/>
    <w:charset w:val="86"/>
    <w:family w:val="auto"/>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6192;mso-width-relative:page;mso-height-relative:page;" filled="f" o:preferrelative="t" stroked="f" coordsize="21600,21600" wrapcoords="6028 0 3516 960 -502 5760 -502 11520 0 16800 7033 21120 9042 21120 14567 21120 15070 21120 20093 15360 21098 6240 17079 1920 14065 0 6028 0">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61312;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F5F90"/>
    <w:multiLevelType w:val="multilevel"/>
    <w:tmpl w:val="46FF5F9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BFB6B74"/>
    <w:multiLevelType w:val="multilevel"/>
    <w:tmpl w:val="5BFB6B74"/>
    <w:lvl w:ilvl="0" w:tentative="0">
      <w:start w:val="1"/>
      <w:numFmt w:val="decimal"/>
      <w:lvlText w:val="%1)"/>
      <w:lvlJc w:val="left"/>
      <w:pPr>
        <w:ind w:left="840" w:hanging="420"/>
      </w:pPr>
      <w:rPr>
        <w:rFonts w:hint="default"/>
        <w:b w:val="0"/>
        <w:bCs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70D21"/>
    <w:rsid w:val="00003081"/>
    <w:rsid w:val="000140E9"/>
    <w:rsid w:val="00033560"/>
    <w:rsid w:val="00052CD4"/>
    <w:rsid w:val="000759D6"/>
    <w:rsid w:val="0007607E"/>
    <w:rsid w:val="000864F0"/>
    <w:rsid w:val="00095931"/>
    <w:rsid w:val="0009608A"/>
    <w:rsid w:val="000A4822"/>
    <w:rsid w:val="00151C00"/>
    <w:rsid w:val="0015425D"/>
    <w:rsid w:val="0018292B"/>
    <w:rsid w:val="001910F3"/>
    <w:rsid w:val="001C4C3E"/>
    <w:rsid w:val="001C5526"/>
    <w:rsid w:val="00231497"/>
    <w:rsid w:val="00245E78"/>
    <w:rsid w:val="00250308"/>
    <w:rsid w:val="002547FE"/>
    <w:rsid w:val="002A3FEF"/>
    <w:rsid w:val="002F72FC"/>
    <w:rsid w:val="003162C9"/>
    <w:rsid w:val="00324A9D"/>
    <w:rsid w:val="0033112F"/>
    <w:rsid w:val="00375EAD"/>
    <w:rsid w:val="003871BB"/>
    <w:rsid w:val="003E5B3D"/>
    <w:rsid w:val="003E5BAE"/>
    <w:rsid w:val="003F7F65"/>
    <w:rsid w:val="00450AC6"/>
    <w:rsid w:val="00470D21"/>
    <w:rsid w:val="00483061"/>
    <w:rsid w:val="004A32C9"/>
    <w:rsid w:val="004B38DA"/>
    <w:rsid w:val="004B486E"/>
    <w:rsid w:val="00500CD6"/>
    <w:rsid w:val="005274A6"/>
    <w:rsid w:val="00557DC7"/>
    <w:rsid w:val="005A1821"/>
    <w:rsid w:val="005E51E0"/>
    <w:rsid w:val="005F4993"/>
    <w:rsid w:val="0060299D"/>
    <w:rsid w:val="00636DC7"/>
    <w:rsid w:val="00666013"/>
    <w:rsid w:val="006954E8"/>
    <w:rsid w:val="0069583D"/>
    <w:rsid w:val="006A43EE"/>
    <w:rsid w:val="006A757C"/>
    <w:rsid w:val="006D18AF"/>
    <w:rsid w:val="006E66E1"/>
    <w:rsid w:val="007A19DF"/>
    <w:rsid w:val="007C739E"/>
    <w:rsid w:val="007E0DA0"/>
    <w:rsid w:val="00860A7F"/>
    <w:rsid w:val="00862655"/>
    <w:rsid w:val="008869EC"/>
    <w:rsid w:val="008A61A2"/>
    <w:rsid w:val="008D0B5B"/>
    <w:rsid w:val="008D294A"/>
    <w:rsid w:val="008D5096"/>
    <w:rsid w:val="008E63EA"/>
    <w:rsid w:val="00917C84"/>
    <w:rsid w:val="00925F83"/>
    <w:rsid w:val="009329CB"/>
    <w:rsid w:val="00946C36"/>
    <w:rsid w:val="0097532A"/>
    <w:rsid w:val="00986E6B"/>
    <w:rsid w:val="0099108D"/>
    <w:rsid w:val="009A023E"/>
    <w:rsid w:val="009D343B"/>
    <w:rsid w:val="009D7584"/>
    <w:rsid w:val="009E35B4"/>
    <w:rsid w:val="009F7A8C"/>
    <w:rsid w:val="00A02160"/>
    <w:rsid w:val="00A0759F"/>
    <w:rsid w:val="00A973F1"/>
    <w:rsid w:val="00AA461B"/>
    <w:rsid w:val="00AB06D9"/>
    <w:rsid w:val="00AD26EB"/>
    <w:rsid w:val="00B16563"/>
    <w:rsid w:val="00B26F76"/>
    <w:rsid w:val="00B50DB4"/>
    <w:rsid w:val="00B5547F"/>
    <w:rsid w:val="00BF4BD1"/>
    <w:rsid w:val="00C006DA"/>
    <w:rsid w:val="00C0730E"/>
    <w:rsid w:val="00C347CC"/>
    <w:rsid w:val="00C96AD6"/>
    <w:rsid w:val="00CC6F78"/>
    <w:rsid w:val="00CD19FA"/>
    <w:rsid w:val="00CD3F7E"/>
    <w:rsid w:val="00CF3F53"/>
    <w:rsid w:val="00D10C90"/>
    <w:rsid w:val="00D21338"/>
    <w:rsid w:val="00D4787D"/>
    <w:rsid w:val="00D84C93"/>
    <w:rsid w:val="00DB203D"/>
    <w:rsid w:val="00DF2C80"/>
    <w:rsid w:val="00E807BB"/>
    <w:rsid w:val="00E91C2B"/>
    <w:rsid w:val="00E95EA8"/>
    <w:rsid w:val="00EB6EFF"/>
    <w:rsid w:val="00EB724C"/>
    <w:rsid w:val="00ED17D6"/>
    <w:rsid w:val="00EF3B09"/>
    <w:rsid w:val="00F253DF"/>
    <w:rsid w:val="00F739E4"/>
    <w:rsid w:val="00F84449"/>
    <w:rsid w:val="00F95C08"/>
    <w:rsid w:val="00FA02B9"/>
    <w:rsid w:val="00FE4CFA"/>
    <w:rsid w:val="06A10182"/>
    <w:rsid w:val="1AF50DA2"/>
    <w:rsid w:val="21124C11"/>
    <w:rsid w:val="29957BDC"/>
    <w:rsid w:val="53AF4FF7"/>
    <w:rsid w:val="53D348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8"/>
    <w:unhideWhenUsed/>
    <w:uiPriority w:val="99"/>
    <w:pPr>
      <w:spacing w:after="120"/>
    </w:pPr>
  </w:style>
  <w:style w:type="paragraph" w:styleId="3">
    <w:name w:val="Date"/>
    <w:basedOn w:val="1"/>
    <w:next w:val="1"/>
    <w:link w:val="17"/>
    <w:uiPriority w:val="0"/>
    <w:rPr>
      <w:rFonts w:ascii="宋体" w:hAnsi="宋体"/>
      <w:szCs w:val="24"/>
    </w:rPr>
  </w:style>
  <w:style w:type="paragraph" w:styleId="4">
    <w:name w:val="Balloon Text"/>
    <w:basedOn w:val="1"/>
    <w:link w:val="11"/>
    <w:semiHidden/>
    <w:uiPriority w:val="99"/>
    <w:rPr>
      <w:sz w:val="18"/>
      <w:szCs w:val="18"/>
    </w:rPr>
  </w:style>
  <w:style w:type="paragraph" w:styleId="5">
    <w:name w:val="footer"/>
    <w:basedOn w:val="1"/>
    <w:link w:val="12"/>
    <w:semiHidden/>
    <w:uiPriority w:val="99"/>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000FF" w:themeColor="hyperlink"/>
      <w:u w:val="single"/>
    </w:rPr>
  </w:style>
  <w:style w:type="character" w:customStyle="1" w:styleId="11">
    <w:name w:val="批注框文本 Char"/>
    <w:link w:val="4"/>
    <w:semiHidden/>
    <w:locked/>
    <w:uiPriority w:val="99"/>
    <w:rPr>
      <w:rFonts w:ascii="Times New Roman" w:hAnsi="Times New Roman" w:eastAsia="宋体" w:cs="Times New Roman"/>
      <w:sz w:val="18"/>
      <w:szCs w:val="18"/>
    </w:rPr>
  </w:style>
  <w:style w:type="character" w:customStyle="1" w:styleId="12">
    <w:name w:val="页脚 Char"/>
    <w:link w:val="5"/>
    <w:semiHidden/>
    <w:locked/>
    <w:uiPriority w:val="99"/>
    <w:rPr>
      <w:rFonts w:ascii="Times New Roman" w:hAnsi="Times New Roman" w:eastAsia="宋体" w:cs="Times New Roman"/>
      <w:sz w:val="18"/>
      <w:szCs w:val="18"/>
    </w:rPr>
  </w:style>
  <w:style w:type="character" w:customStyle="1" w:styleId="13">
    <w:name w:val="页眉 Char"/>
    <w:link w:val="6"/>
    <w:qFormat/>
    <w:locked/>
    <w:uiPriority w:val="0"/>
    <w:rPr>
      <w:sz w:val="18"/>
    </w:rPr>
  </w:style>
  <w:style w:type="character" w:customStyle="1" w:styleId="14">
    <w:name w:val="页眉 Char1"/>
    <w:semiHidden/>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日期 Char"/>
    <w:basedOn w:val="9"/>
    <w:link w:val="3"/>
    <w:uiPriority w:val="0"/>
    <w:rPr>
      <w:rFonts w:ascii="宋体" w:hAnsi="宋体"/>
      <w:kern w:val="2"/>
      <w:sz w:val="24"/>
      <w:szCs w:val="24"/>
    </w:rPr>
  </w:style>
  <w:style w:type="character" w:customStyle="1" w:styleId="18">
    <w:name w:val="正文文本 Char"/>
    <w:basedOn w:val="9"/>
    <w:link w:val="2"/>
    <w:uiPriority w:val="99"/>
    <w:rPr>
      <w:rFonts w:ascii="Times New Roman" w:hAnsi="Times New Roman"/>
      <w:kern w:val="2"/>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1344</Words>
  <Characters>7666</Characters>
  <Lines>63</Lines>
  <Paragraphs>17</Paragraphs>
  <TotalTime>390</TotalTime>
  <ScaleCrop>false</ScaleCrop>
  <LinksUpToDate>false</LinksUpToDate>
  <CharactersWithSpaces>8993</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wangg</cp:lastModifiedBy>
  <cp:lastPrinted>2019-04-18T08:15:00Z</cp:lastPrinted>
  <dcterms:modified xsi:type="dcterms:W3CDTF">2021-03-01T03:27:38Z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4A9E48F6D02041CFA9F421860EEEC83A</vt:lpwstr>
  </property>
</Properties>
</file>