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廊坊福洛斯建材有限公司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供销部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刘美娜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r>
              <w:rPr>
                <w:rFonts w:hint="eastAsia" w:ascii="方正仿宋简体" w:eastAsia="方正仿宋简体"/>
                <w:b/>
                <w:lang w:val="en-US" w:eastAsia="zh-CN"/>
              </w:rPr>
              <w:t>审核发现，未提供对产品运输外包方施加了职业健康安全影响的证据。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GB/T 19001</w:t>
            </w:r>
            <w:r>
              <w:rPr>
                <w:rFonts w:hint="eastAsia" w:ascii="宋体" w:hAnsi="宋体"/>
                <w:b/>
                <w:sz w:val="22"/>
                <w:szCs w:val="22"/>
                <w:lang w:val="en-US" w:eastAsia="zh-CN"/>
              </w:rPr>
              <w:t>-</w:t>
            </w:r>
            <w:r>
              <w:rPr>
                <w:rFonts w:hint="eastAsia" w:ascii="宋体" w:hAnsi="宋体"/>
                <w:b/>
                <w:sz w:val="22"/>
                <w:szCs w:val="22"/>
              </w:rPr>
              <w:t xml:space="preserve">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w:t>
            </w:r>
            <w:r>
              <w:rPr>
                <w:rFonts w:hint="eastAsia" w:ascii="宋体" w:hAnsi="宋体"/>
                <w:b/>
                <w:sz w:val="22"/>
                <w:szCs w:val="22"/>
                <w:lang w:val="en-US" w:eastAsia="zh-CN"/>
              </w:rPr>
              <w:t>20</w:t>
            </w:r>
            <w:r>
              <w:rPr>
                <w:rFonts w:hint="eastAsia" w:ascii="宋体" w:hAnsi="宋体"/>
                <w:b/>
                <w:sz w:val="22"/>
                <w:szCs w:val="22"/>
              </w:rPr>
              <w:t xml:space="preserve"> idt ISO</w:t>
            </w:r>
            <w:r>
              <w:rPr>
                <w:rFonts w:hint="eastAsia" w:ascii="宋体" w:hAnsi="宋体"/>
                <w:b/>
                <w:sz w:val="22"/>
                <w:szCs w:val="22"/>
                <w:lang w:val="en-US" w:eastAsia="zh-CN"/>
              </w:rPr>
              <w:t xml:space="preserve"> </w:t>
            </w:r>
            <w:r>
              <w:rPr>
                <w:rFonts w:hint="eastAsia" w:ascii="宋体" w:hAnsi="宋体"/>
                <w:b/>
                <w:sz w:val="22"/>
                <w:szCs w:val="22"/>
              </w:rPr>
              <w:t xml:space="preserve">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drawing>
                <wp:anchor distT="0" distB="0" distL="114300" distR="114300" simplePos="0" relativeHeight="251662336" behindDoc="0" locked="0" layoutInCell="1" allowOverlap="1">
                  <wp:simplePos x="0" y="0"/>
                  <wp:positionH relativeFrom="column">
                    <wp:posOffset>5260975</wp:posOffset>
                  </wp:positionH>
                  <wp:positionV relativeFrom="paragraph">
                    <wp:posOffset>167005</wp:posOffset>
                  </wp:positionV>
                  <wp:extent cx="520700" cy="311150"/>
                  <wp:effectExtent l="0" t="0" r="0" b="635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520700" cy="311150"/>
                          </a:xfrm>
                          <a:prstGeom prst="rect">
                            <a:avLst/>
                          </a:prstGeom>
                          <a:noFill/>
                          <a:ln>
                            <a:noFill/>
                          </a:ln>
                        </pic:spPr>
                      </pic:pic>
                    </a:graphicData>
                  </a:graphic>
                </wp:anchor>
              </w:drawing>
            </w: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2836545</wp:posOffset>
                  </wp:positionH>
                  <wp:positionV relativeFrom="paragraph">
                    <wp:posOffset>48260</wp:posOffset>
                  </wp:positionV>
                  <wp:extent cx="1020445" cy="49149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7"/>
                          <a:stretch>
                            <a:fillRect/>
                          </a:stretch>
                        </pic:blipFill>
                        <pic:spPr>
                          <a:xfrm>
                            <a:off x="0" y="0"/>
                            <a:ext cx="1020445" cy="491490"/>
                          </a:xfrm>
                          <a:prstGeom prst="rect">
                            <a:avLst/>
                          </a:prstGeom>
                          <a:noFill/>
                          <a:ln>
                            <a:noFill/>
                          </a:ln>
                        </pic:spPr>
                      </pic:pic>
                    </a:graphicData>
                  </a:graphic>
                </wp:anchor>
              </w:drawing>
            </w:r>
            <w:r>
              <w:rPr>
                <w:rFonts w:hint="eastAsia" w:ascii="宋体" w:hAnsi="宋体"/>
                <w:b/>
                <w:kern w:val="0"/>
                <w:sz w:val="20"/>
                <w:szCs w:val="20"/>
              </w:rPr>
              <w:drawing>
                <wp:anchor distT="0" distB="0" distL="114300" distR="114300" simplePos="0" relativeHeight="251658240" behindDoc="0" locked="0" layoutInCell="1" allowOverlap="1">
                  <wp:simplePos x="0" y="0"/>
                  <wp:positionH relativeFrom="column">
                    <wp:posOffset>527685</wp:posOffset>
                  </wp:positionH>
                  <wp:positionV relativeFrom="paragraph">
                    <wp:posOffset>48260</wp:posOffset>
                  </wp:positionV>
                  <wp:extent cx="1020445" cy="49149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7"/>
                          <a:stretch>
                            <a:fillRect/>
                          </a:stretch>
                        </pic:blipFill>
                        <pic:spPr>
                          <a:xfrm>
                            <a:off x="0" y="0"/>
                            <a:ext cx="1020445" cy="491490"/>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2021.1.28</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r>
              <w:rPr>
                <w:rFonts w:hint="eastAsia" w:ascii="方正仿宋简体" w:eastAsia="方正仿宋简体"/>
                <w:b/>
                <w:sz w:val="24"/>
              </w:rPr>
              <w:t>日    期：</w:t>
            </w:r>
            <w:r>
              <w:rPr>
                <w:rFonts w:hint="eastAsia" w:ascii="方正仿宋简体" w:eastAsia="方正仿宋简体"/>
                <w:b/>
                <w:sz w:val="24"/>
                <w:lang w:val="en-US" w:eastAsia="zh-CN"/>
              </w:rPr>
              <w:t>2021.1.28</w:t>
            </w:r>
            <w:r>
              <w:rPr>
                <w:rFonts w:hint="eastAsia" w:ascii="方正仿宋简体" w:eastAsia="方正仿宋简体"/>
                <w:b/>
                <w:sz w:val="24"/>
              </w:rPr>
              <w:t xml:space="preserve">       日    期：</w:t>
            </w:r>
            <w:r>
              <w:rPr>
                <w:rFonts w:hint="eastAsia" w:ascii="方正仿宋简体" w:eastAsia="方正仿宋简体"/>
                <w:b/>
                <w:sz w:val="24"/>
                <w:lang w:val="en-US" w:eastAsia="zh-CN"/>
              </w:rPr>
              <w:t>2021.1.28</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提供了“致相关方的公开信”，“培训记录”。</w:t>
            </w:r>
          </w:p>
          <w:p>
            <w:pPr>
              <w:spacing w:before="120" w:line="360" w:lineRule="auto"/>
              <w:rPr>
                <w:rFonts w:ascii="方正仿宋简体" w:eastAsia="方正仿宋简体"/>
                <w:b/>
              </w:rPr>
            </w:pPr>
            <w:r>
              <w:rPr>
                <w:rFonts w:hint="eastAsia" w:ascii="方正仿宋简体" w:eastAsia="方正仿宋简体"/>
                <w:b/>
                <w:lang w:val="en-US" w:eastAsia="zh-CN"/>
              </w:rPr>
              <w:t>经验证，采取的措施有效。</w:t>
            </w: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3664585</wp:posOffset>
                  </wp:positionH>
                  <wp:positionV relativeFrom="paragraph">
                    <wp:posOffset>267970</wp:posOffset>
                  </wp:positionV>
                  <wp:extent cx="1020445" cy="491490"/>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7"/>
                          <a:stretch>
                            <a:fillRect/>
                          </a:stretch>
                        </pic:blipFill>
                        <pic:spPr>
                          <a:xfrm>
                            <a:off x="0" y="0"/>
                            <a:ext cx="1020445" cy="491490"/>
                          </a:xfrm>
                          <a:prstGeom prst="rect">
                            <a:avLst/>
                          </a:prstGeom>
                          <a:noFill/>
                          <a:ln>
                            <a:noFill/>
                          </a:ln>
                        </pic:spPr>
                      </pic:pic>
                    </a:graphicData>
                  </a:graphic>
                </wp:anchor>
              </w:drawing>
            </w: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日期：</w:t>
            </w:r>
            <w:r>
              <w:rPr>
                <w:rFonts w:hint="eastAsia" w:ascii="方正仿宋简体" w:eastAsia="方正仿宋简体"/>
                <w:b/>
                <w:lang w:val="en-US" w:eastAsia="zh-CN"/>
              </w:rPr>
              <w:t>2021.1.29</w:t>
            </w:r>
            <w:r>
              <w:rPr>
                <w:rFonts w:hint="eastAsia" w:ascii="方正仿宋简体" w:eastAsia="方正仿宋简体"/>
                <w:b/>
              </w:rPr>
              <w:t xml:space="preserve">       </w:t>
            </w:r>
          </w:p>
        </w:tc>
      </w:tr>
    </w:tbl>
    <w:p>
      <w:pPr>
        <w:rPr>
          <w:rFonts w:hint="eastAsia" w:eastAsia="黑体"/>
          <w:sz w:val="32"/>
        </w:rPr>
      </w:pPr>
      <w:r>
        <w:rPr>
          <w:rFonts w:eastAsia="黑体"/>
          <w:sz w:val="24"/>
        </w:rPr>
        <w:br w:type="page"/>
      </w:r>
      <w:r>
        <w:rPr>
          <w:rFonts w:hint="eastAsia" w:eastAsia="黑体"/>
          <w:sz w:val="32"/>
        </w:rPr>
        <w:drawing>
          <wp:inline distT="0" distB="0" distL="114300" distR="114300">
            <wp:extent cx="6388735" cy="8794115"/>
            <wp:effectExtent l="0" t="0" r="12065" b="6985"/>
            <wp:docPr id="4" name="图片 4" descr="f8657b46440ed1919d3d37230807c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8657b46440ed1919d3d37230807c22"/>
                    <pic:cNvPicPr>
                      <a:picLocks noChangeAspect="1"/>
                    </pic:cNvPicPr>
                  </pic:nvPicPr>
                  <pic:blipFill>
                    <a:blip r:embed="rId8"/>
                    <a:stretch>
                      <a:fillRect/>
                    </a:stretch>
                  </pic:blipFill>
                  <pic:spPr>
                    <a:xfrm>
                      <a:off x="0" y="0"/>
                      <a:ext cx="6388735" cy="8794115"/>
                    </a:xfrm>
                    <a:prstGeom prst="rect">
                      <a:avLst/>
                    </a:prstGeom>
                  </pic:spPr>
                </pic:pic>
              </a:graphicData>
            </a:graphic>
          </wp:inline>
        </w:drawing>
      </w:r>
    </w:p>
    <w:p>
      <w:pPr>
        <w:rPr>
          <w:rFonts w:hint="eastAsia" w:eastAsia="黑体"/>
          <w:sz w:val="32"/>
        </w:rPr>
      </w:pPr>
    </w:p>
    <w:p>
      <w:pPr>
        <w:ind w:firstLine="3520" w:firstLineChars="1100"/>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时</w:t>
            </w:r>
            <w:r>
              <w:rPr>
                <w:sz w:val="24"/>
                <w:szCs w:val="24"/>
              </w:rPr>
              <w:t xml:space="preserve">  </w:t>
            </w:r>
            <w:r>
              <w:rPr>
                <w:rFonts w:hint="eastAsia"/>
                <w:sz w:val="24"/>
                <w:szCs w:val="24"/>
              </w:rPr>
              <w:t>间</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sz w:val="24"/>
                <w:szCs w:val="24"/>
              </w:rPr>
              <w:t>20</w:t>
            </w:r>
            <w:r>
              <w:rPr>
                <w:rFonts w:hint="eastAsia"/>
                <w:sz w:val="24"/>
                <w:szCs w:val="24"/>
                <w:lang w:val="en-US" w:eastAsia="zh-CN"/>
              </w:rPr>
              <w:t>21.1.29</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sz w:val="24"/>
                <w:szCs w:val="24"/>
              </w:rPr>
            </w:pPr>
            <w:r>
              <w:rPr>
                <w:rFonts w:hint="eastAsia"/>
                <w:sz w:val="24"/>
                <w:szCs w:val="24"/>
              </w:rPr>
              <w:t>地</w:t>
            </w:r>
            <w:r>
              <w:rPr>
                <w:sz w:val="24"/>
                <w:szCs w:val="24"/>
              </w:rPr>
              <w:t xml:space="preserve">  </w:t>
            </w:r>
            <w:r>
              <w:rPr>
                <w:rFonts w:hint="eastAsia"/>
                <w:sz w:val="24"/>
                <w:szCs w:val="24"/>
              </w:rPr>
              <w:t>点</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sz w:val="24"/>
                <w:szCs w:val="24"/>
                <w:lang w:eastAsia="zh-CN"/>
              </w:rPr>
            </w:pPr>
            <w:r>
              <w:rPr>
                <w:rFonts w:hint="eastAsia"/>
                <w:sz w:val="24"/>
                <w:szCs w:val="24"/>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主</w:t>
            </w:r>
            <w:r>
              <w:rPr>
                <w:sz w:val="24"/>
                <w:szCs w:val="24"/>
              </w:rPr>
              <w:t xml:space="preserve">  </w:t>
            </w:r>
            <w:r>
              <w:rPr>
                <w:rFonts w:hint="eastAsia"/>
                <w:sz w:val="24"/>
                <w:szCs w:val="24"/>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sz w:val="24"/>
                <w:szCs w:val="24"/>
                <w:lang w:val="en-US" w:eastAsia="zh-CN"/>
              </w:rPr>
              <w:t>王国霞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FF0000"/>
                <w:sz w:val="24"/>
                <w:szCs w:val="24"/>
              </w:rPr>
            </w:pPr>
            <w:r>
              <w:rPr>
                <w:rFonts w:hint="eastAsia"/>
                <w:sz w:val="24"/>
                <w:szCs w:val="24"/>
                <w:lang w:val="en-US" w:eastAsia="zh-CN"/>
              </w:rPr>
              <w:t>供销部</w:t>
            </w:r>
            <w:r>
              <w:rPr>
                <w:rFonts w:hint="eastAsia"/>
                <w:sz w:val="24"/>
                <w:szCs w:val="24"/>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培</w:t>
            </w:r>
          </w:p>
          <w:p>
            <w:pPr>
              <w:jc w:val="center"/>
              <w:rPr>
                <w:sz w:val="24"/>
                <w:szCs w:val="24"/>
              </w:rPr>
            </w:pPr>
            <w:r>
              <w:rPr>
                <w:rFonts w:hint="eastAsia"/>
                <w:sz w:val="24"/>
                <w:szCs w:val="24"/>
              </w:rPr>
              <w:t>训</w:t>
            </w:r>
          </w:p>
          <w:p>
            <w:pPr>
              <w:jc w:val="center"/>
              <w:rPr>
                <w:sz w:val="24"/>
                <w:szCs w:val="24"/>
              </w:rPr>
            </w:pPr>
            <w:r>
              <w:rPr>
                <w:rFonts w:hint="eastAsia"/>
                <w:sz w:val="24"/>
                <w:szCs w:val="24"/>
              </w:rPr>
              <w:t>主</w:t>
            </w:r>
          </w:p>
          <w:p>
            <w:pPr>
              <w:jc w:val="center"/>
              <w:rPr>
                <w:sz w:val="24"/>
                <w:szCs w:val="24"/>
              </w:rPr>
            </w:pPr>
            <w:r>
              <w:rPr>
                <w:rFonts w:hint="eastAsia"/>
                <w:sz w:val="24"/>
                <w:szCs w:val="24"/>
              </w:rPr>
              <w:t>要</w:t>
            </w:r>
          </w:p>
          <w:p>
            <w:pPr>
              <w:jc w:val="center"/>
              <w:rPr>
                <w:sz w:val="24"/>
                <w:szCs w:val="24"/>
              </w:rPr>
            </w:pPr>
            <w:r>
              <w:rPr>
                <w:rFonts w:hint="eastAsia"/>
                <w:sz w:val="24"/>
                <w:szCs w:val="24"/>
              </w:rPr>
              <w:t>内</w:t>
            </w:r>
          </w:p>
          <w:p>
            <w:pPr>
              <w:jc w:val="center"/>
              <w:rPr>
                <w:sz w:val="24"/>
                <w:szCs w:val="24"/>
              </w:rPr>
            </w:pPr>
            <w:r>
              <w:rPr>
                <w:rFonts w:hint="eastAsia"/>
                <w:sz w:val="24"/>
                <w:szCs w:val="24"/>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both"/>
              <w:rPr>
                <w:rFonts w:ascii="Times New Roman" w:hAnsi="Times New Roman" w:eastAsia="宋体"/>
                <w:sz w:val="24"/>
                <w:szCs w:val="24"/>
              </w:rPr>
            </w:pPr>
            <w:r>
              <w:rPr>
                <w:rFonts w:ascii="Times New Roman" w:hAnsi="Times New Roman" w:eastAsia="宋体"/>
                <w:sz w:val="24"/>
                <w:szCs w:val="24"/>
              </w:rPr>
              <w:t>1、</w:t>
            </w:r>
            <w:r>
              <w:rPr>
                <w:rFonts w:hint="eastAsia" w:ascii="Times New Roman" w:hAnsi="Times New Roman" w:eastAsia="宋体"/>
                <w:sz w:val="24"/>
                <w:szCs w:val="24"/>
                <w:lang w:val="en-US" w:eastAsia="zh-CN"/>
              </w:rPr>
              <w:t>GB/T45001-2020</w:t>
            </w:r>
            <w:r>
              <w:rPr>
                <w:rFonts w:hint="eastAsia" w:ascii="Times New Roman" w:hAnsi="Times New Roman" w:eastAsia="宋体"/>
                <w:sz w:val="24"/>
                <w:szCs w:val="24"/>
              </w:rPr>
              <w:t>标准的</w:t>
            </w:r>
            <w:r>
              <w:rPr>
                <w:rFonts w:hint="eastAsia" w:ascii="Times New Roman" w:hAnsi="Times New Roman" w:eastAsia="宋体"/>
                <w:sz w:val="24"/>
                <w:szCs w:val="24"/>
                <w:lang w:val="en-US" w:eastAsia="zh-CN"/>
              </w:rPr>
              <w:t>8.1.4</w:t>
            </w:r>
            <w:r>
              <w:rPr>
                <w:rFonts w:hint="eastAsia" w:ascii="Times New Roman" w:hAnsi="Times New Roman" w:eastAsia="宋体"/>
                <w:sz w:val="24"/>
                <w:szCs w:val="24"/>
              </w:rPr>
              <w:t>条款</w:t>
            </w:r>
            <w:r>
              <w:rPr>
                <w:rFonts w:ascii="Times New Roman" w:hAnsi="Times New Roman" w:eastAsia="宋体"/>
                <w:sz w:val="24"/>
                <w:szCs w:val="24"/>
              </w:rPr>
              <w:t>内容及其理解；</w:t>
            </w:r>
          </w:p>
          <w:p>
            <w:pPr>
              <w:spacing w:line="480" w:lineRule="auto"/>
              <w:jc w:val="both"/>
              <w:rPr>
                <w:rFonts w:ascii="Times New Roman" w:hAnsi="Times New Roman" w:eastAsia="宋体"/>
                <w:sz w:val="24"/>
                <w:szCs w:val="24"/>
              </w:rPr>
            </w:pPr>
            <w:r>
              <w:rPr>
                <w:rFonts w:ascii="Times New Roman" w:hAnsi="Times New Roman" w:eastAsia="宋体"/>
                <w:sz w:val="24"/>
                <w:szCs w:val="24"/>
              </w:rPr>
              <w:t>2、本公司管理体系文件相关内容；</w:t>
            </w:r>
          </w:p>
          <w:p>
            <w:pPr>
              <w:numPr>
                <w:ilvl w:val="0"/>
                <w:numId w:val="0"/>
              </w:numPr>
              <w:spacing w:line="480" w:lineRule="auto"/>
              <w:jc w:val="both"/>
              <w:rPr>
                <w:rFonts w:hint="eastAsia" w:ascii="Times New Roman" w:hAnsi="Times New Roman" w:eastAsia="宋体" w:cs="Times New Roman"/>
                <w:sz w:val="24"/>
                <w:szCs w:val="24"/>
                <w:lang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纠正措施实施控制要求</w:t>
            </w:r>
            <w:r>
              <w:rPr>
                <w:rFonts w:hint="eastAsia" w:ascii="Times New Roman" w:hAnsi="Times New Roman" w:eastAsia="宋体"/>
                <w:sz w:val="24"/>
                <w:szCs w:val="24"/>
                <w:lang w:eastAsia="zh-CN"/>
              </w:rPr>
              <w:t>。</w:t>
            </w:r>
          </w:p>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考</w:t>
            </w:r>
          </w:p>
          <w:p>
            <w:pPr>
              <w:jc w:val="center"/>
              <w:rPr>
                <w:sz w:val="24"/>
                <w:szCs w:val="24"/>
              </w:rPr>
            </w:pPr>
            <w:r>
              <w:rPr>
                <w:rFonts w:hint="eastAsia"/>
                <w:sz w:val="24"/>
                <w:szCs w:val="24"/>
              </w:rPr>
              <w:t>核</w:t>
            </w:r>
          </w:p>
          <w:p>
            <w:pPr>
              <w:jc w:val="center"/>
              <w:rPr>
                <w:sz w:val="24"/>
                <w:szCs w:val="24"/>
              </w:rPr>
            </w:pPr>
            <w:r>
              <w:rPr>
                <w:rFonts w:hint="eastAsia"/>
                <w:sz w:val="24"/>
                <w:szCs w:val="24"/>
              </w:rPr>
              <w:t>评</w:t>
            </w:r>
          </w:p>
          <w:p>
            <w:pPr>
              <w:jc w:val="center"/>
              <w:rPr>
                <w:sz w:val="24"/>
                <w:szCs w:val="24"/>
              </w:rPr>
            </w:pPr>
            <w:r>
              <w:rPr>
                <w:rFonts w:hint="eastAsia"/>
                <w:sz w:val="24"/>
                <w:szCs w:val="24"/>
              </w:rPr>
              <w:t>价</w:t>
            </w:r>
          </w:p>
          <w:p>
            <w:pPr>
              <w:jc w:val="center"/>
              <w:rPr>
                <w:sz w:val="24"/>
                <w:szCs w:val="24"/>
              </w:rPr>
            </w:pPr>
            <w:r>
              <w:rPr>
                <w:rFonts w:hint="eastAsia"/>
                <w:sz w:val="24"/>
                <w:szCs w:val="24"/>
              </w:rPr>
              <w:t>情</w:t>
            </w:r>
          </w:p>
          <w:p>
            <w:pPr>
              <w:jc w:val="center"/>
              <w:rPr>
                <w:sz w:val="24"/>
                <w:szCs w:val="24"/>
              </w:rPr>
            </w:pPr>
            <w:r>
              <w:rPr>
                <w:rFonts w:hint="eastAsia"/>
                <w:sz w:val="24"/>
                <w:szCs w:val="24"/>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4"/>
                <w:szCs w:val="24"/>
              </w:rPr>
            </w:pPr>
          </w:p>
          <w:p>
            <w:pPr>
              <w:spacing w:line="480" w:lineRule="auto"/>
              <w:jc w:val="both"/>
              <w:rPr>
                <w:sz w:val="24"/>
                <w:szCs w:val="24"/>
              </w:rPr>
            </w:pPr>
            <w:r>
              <w:rPr>
                <w:rFonts w:hint="eastAsia"/>
                <w:sz w:val="24"/>
                <w:szCs w:val="24"/>
              </w:rPr>
              <w:t>经过培训讲解，提问、交流等形式进行评价，培训效果良好，达到了预期目的。</w:t>
            </w:r>
          </w:p>
          <w:p>
            <w:pPr>
              <w:spacing w:line="480" w:lineRule="auto"/>
              <w:jc w:val="both"/>
              <w:rPr>
                <w:sz w:val="24"/>
                <w:szCs w:val="24"/>
              </w:rPr>
            </w:pPr>
          </w:p>
          <w:p>
            <w:pPr>
              <w:jc w:val="both"/>
              <w:rPr>
                <w:rFonts w:hint="eastAsia"/>
                <w:sz w:val="24"/>
                <w:szCs w:val="24"/>
                <w:lang w:val="en-US" w:eastAsia="zh-CN"/>
              </w:rPr>
            </w:pPr>
            <w:r>
              <w:rPr>
                <w:sz w:val="24"/>
                <w:szCs w:val="24"/>
              </w:rPr>
              <w:t xml:space="preserve">         </w:t>
            </w:r>
            <w:r>
              <w:rPr>
                <w:rFonts w:hint="eastAsia"/>
                <w:sz w:val="24"/>
                <w:szCs w:val="24"/>
                <w:lang w:val="en-US" w:eastAsia="zh-CN"/>
              </w:rPr>
              <w:t xml:space="preserve">             </w:t>
            </w:r>
          </w:p>
          <w:p>
            <w:pPr>
              <w:jc w:val="both"/>
              <w:rPr>
                <w:rFonts w:hint="eastAsia"/>
                <w:sz w:val="24"/>
                <w:szCs w:val="24"/>
                <w:lang w:val="en-US" w:eastAsia="zh-CN"/>
              </w:rPr>
            </w:pPr>
          </w:p>
          <w:p>
            <w:pPr>
              <w:jc w:val="both"/>
              <w:rPr>
                <w:rFonts w:hint="eastAsia"/>
                <w:sz w:val="24"/>
                <w:szCs w:val="24"/>
                <w:lang w:val="en-US" w:eastAsia="zh-CN"/>
              </w:rPr>
            </w:pPr>
          </w:p>
          <w:p>
            <w:pPr>
              <w:spacing w:line="480" w:lineRule="auto"/>
              <w:ind w:firstLine="2880" w:firstLineChars="1200"/>
              <w:jc w:val="both"/>
              <w:rPr>
                <w:rFonts w:hint="eastAsia" w:eastAsia="宋体"/>
                <w:sz w:val="24"/>
                <w:szCs w:val="24"/>
                <w:lang w:val="en-US" w:eastAsia="zh-CN"/>
              </w:rPr>
            </w:pPr>
            <w:r>
              <w:rPr>
                <w:rFonts w:hint="eastAsia"/>
                <w:sz w:val="24"/>
                <w:szCs w:val="24"/>
              </w:rPr>
              <w:t>评价人</w:t>
            </w:r>
            <w:r>
              <w:rPr>
                <w:rFonts w:hint="eastAsia"/>
                <w:sz w:val="24"/>
                <w:szCs w:val="24"/>
                <w:lang w:eastAsia="zh-CN"/>
              </w:rPr>
              <w:t>：</w:t>
            </w:r>
            <w:r>
              <w:rPr>
                <w:rFonts w:hint="eastAsia"/>
                <w:sz w:val="24"/>
                <w:szCs w:val="24"/>
                <w:lang w:val="en-US" w:eastAsia="zh-CN"/>
              </w:rPr>
              <w:t>王国霞</w:t>
            </w:r>
          </w:p>
          <w:p>
            <w:pPr>
              <w:spacing w:line="480" w:lineRule="auto"/>
              <w:jc w:val="both"/>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29</w:t>
            </w:r>
            <w:r>
              <w:rPr>
                <w:rFonts w:hint="eastAsia"/>
                <w:sz w:val="24"/>
                <w:szCs w:val="24"/>
              </w:rPr>
              <w:t>日</w:t>
            </w:r>
          </w:p>
          <w:p>
            <w:pPr>
              <w:jc w:val="both"/>
              <w:rPr>
                <w:rFonts w:hint="eastAsia"/>
                <w:sz w:val="24"/>
                <w:szCs w:val="24"/>
              </w:rPr>
            </w:pPr>
          </w:p>
        </w:tc>
      </w:tr>
    </w:tbl>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b/>
          <w:bCs/>
          <w:lang w:val="en-US" w:eastAsia="zh-CN"/>
        </w:rPr>
        <w:t>朋诚物流</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sz w:val="21"/>
          <w:szCs w:val="21"/>
        </w:rPr>
        <w:t>岩棉板、岩棉复合板（砂浆纸岩棉复合板）、岩棉管、岩棉毡的加工，绝热轻型复合夹芯板（绝热轻型复合板）的销售</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GB/T45001-2020标准</w:t>
      </w:r>
      <w:r>
        <w:rPr>
          <w:rFonts w:hint="eastAsia" w:ascii="仿宋_GB2312" w:hAnsi="宋体" w:eastAsia="仿宋_GB2312"/>
          <w:color w:val="auto"/>
          <w:w w:val="90"/>
          <w:sz w:val="24"/>
          <w:szCs w:val="28"/>
        </w:rPr>
        <w:t>建立并保持</w:t>
      </w:r>
      <w:r>
        <w:rPr>
          <w:rFonts w:hint="eastAsia" w:ascii="仿宋_GB2312" w:hAnsi="宋体" w:eastAsia="仿宋_GB2312"/>
          <w:color w:val="auto"/>
          <w:w w:val="90"/>
          <w:sz w:val="24"/>
          <w:szCs w:val="28"/>
          <w:lang w:val="en-US" w:eastAsia="zh-CN"/>
        </w:rPr>
        <w:t>职业健康</w:t>
      </w:r>
      <w:r>
        <w:rPr>
          <w:rFonts w:hint="eastAsia" w:ascii="仿宋_GB2312" w:hAnsi="宋体" w:eastAsia="仿宋_GB2312"/>
          <w:color w:val="auto"/>
          <w:w w:val="90"/>
          <w:sz w:val="24"/>
          <w:szCs w:val="28"/>
        </w:rPr>
        <w:t>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本公司的</w:t>
      </w:r>
      <w:r>
        <w:rPr>
          <w:rFonts w:hint="eastAsia"/>
          <w:color w:val="auto"/>
          <w:w w:val="90"/>
          <w:sz w:val="24"/>
          <w:szCs w:val="28"/>
          <w:lang w:val="en-US" w:eastAsia="zh-CN"/>
        </w:rPr>
        <w:t>职业健康安全</w:t>
      </w:r>
      <w:r>
        <w:rPr>
          <w:rFonts w:hint="eastAsia"/>
          <w:color w:val="auto"/>
          <w:w w:val="90"/>
          <w:sz w:val="24"/>
          <w:szCs w:val="28"/>
        </w:rPr>
        <w:t>方针：</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创新求精，不断提升产品与服务质量，促进快速发展</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节能降耗，注重环境保护与污染预防，促进协调发展</w:t>
      </w:r>
    </w:p>
    <w:p>
      <w:pPr>
        <w:autoSpaceDE w:val="0"/>
        <w:autoSpaceDN w:val="0"/>
        <w:adjustRightInd w:val="0"/>
        <w:spacing w:line="360" w:lineRule="auto"/>
        <w:ind w:firstLine="734" w:firstLineChars="306"/>
        <w:jc w:val="left"/>
        <w:rPr>
          <w:rFonts w:ascii="宋体" w:hAnsi="宋体" w:cs="黑体"/>
          <w:b w:val="0"/>
          <w:bCs/>
          <w:kern w:val="0"/>
          <w:sz w:val="24"/>
          <w:szCs w:val="24"/>
        </w:rPr>
      </w:pPr>
      <w:r>
        <w:rPr>
          <w:rFonts w:hint="eastAsia" w:ascii="宋体" w:hAnsi="宋体" w:cs="黑体"/>
          <w:b w:val="0"/>
          <w:bCs/>
          <w:kern w:val="0"/>
          <w:sz w:val="24"/>
          <w:szCs w:val="24"/>
        </w:rPr>
        <w:t>以人为本，确保职业健康与劳动安全，促进和谐发展</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spacing w:val="20"/>
          <w:sz w:val="24"/>
          <w:lang w:val="en-US" w:eastAsia="zh-CN"/>
        </w:rPr>
      </w:pPr>
      <w:r>
        <w:rPr>
          <w:rFonts w:hint="eastAsia" w:ascii="宋体" w:hAnsi="宋体" w:cs="黑体"/>
          <w:b w:val="0"/>
          <w:bCs/>
          <w:kern w:val="0"/>
          <w:sz w:val="24"/>
          <w:szCs w:val="24"/>
        </w:rPr>
        <w:t>守法诚信，坚持预防为主与持续改进，追求卓越绩效</w:t>
      </w:r>
      <w:r>
        <w:rPr>
          <w:rFonts w:hint="eastAsia" w:ascii="宋体" w:hAnsi="宋体"/>
          <w:b/>
          <w:bCs/>
          <w:spacing w:val="20"/>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lang w:val="en-US" w:eastAsia="zh-CN"/>
        </w:rPr>
        <w:t>员工生命安全</w:t>
      </w:r>
      <w:r>
        <w:rPr>
          <w:rFonts w:hint="eastAsia"/>
          <w:color w:val="auto"/>
          <w:w w:val="90"/>
          <w:sz w:val="24"/>
          <w:szCs w:val="28"/>
        </w:rPr>
        <w:t>是每个企业进行经营活动和服务时都必须考虑的问题。我们认识到，与其他相关组织一起，</w:t>
      </w:r>
      <w:r>
        <w:rPr>
          <w:rFonts w:hint="eastAsia"/>
          <w:color w:val="auto"/>
          <w:w w:val="90"/>
          <w:sz w:val="24"/>
          <w:szCs w:val="28"/>
          <w:lang w:val="en-US" w:eastAsia="zh-CN"/>
        </w:rPr>
        <w:t>安全生产，关爱生命</w:t>
      </w:r>
      <w:r>
        <w:rPr>
          <w:rFonts w:hint="eastAsia"/>
          <w:color w:val="auto"/>
          <w:w w:val="90"/>
          <w:sz w:val="24"/>
          <w:szCs w:val="28"/>
        </w:rPr>
        <w:t>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w:t>
      </w:r>
      <w:r>
        <w:rPr>
          <w:rFonts w:hint="eastAsia"/>
          <w:color w:val="auto"/>
          <w:w w:val="90"/>
          <w:sz w:val="24"/>
          <w:szCs w:val="28"/>
          <w:lang w:val="en-US" w:eastAsia="zh-CN"/>
        </w:rPr>
        <w:t>职业健康安全</w:t>
      </w:r>
      <w:r>
        <w:rPr>
          <w:rFonts w:hint="eastAsia"/>
          <w:color w:val="auto"/>
          <w:w w:val="90"/>
          <w:sz w:val="24"/>
          <w:szCs w:val="28"/>
        </w:rPr>
        <w:t>行动的同时，为了加强与贵公司、相关方在职业健康安全方面的合作，实现</w:t>
      </w:r>
      <w:r>
        <w:rPr>
          <w:rFonts w:hint="eastAsia"/>
          <w:color w:val="auto"/>
          <w:w w:val="90"/>
          <w:sz w:val="24"/>
          <w:szCs w:val="28"/>
          <w:lang w:val="en-US" w:eastAsia="zh-CN"/>
        </w:rPr>
        <w:t>职业健康安全方面</w:t>
      </w:r>
      <w:r>
        <w:rPr>
          <w:rFonts w:hint="eastAsia"/>
          <w:color w:val="auto"/>
          <w:w w:val="90"/>
          <w:sz w:val="24"/>
          <w:szCs w:val="28"/>
        </w:rPr>
        <w:t>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1、所提供的设备、产品、服务过程应满足（或设法满足）国家、地方、行业的有关职业健康安全方面的法律、法规及我公司职业健康安全管理体系有关方面的要求。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lang w:val="en-US" w:eastAsia="zh-CN"/>
        </w:rPr>
        <w:t>2</w:t>
      </w:r>
      <w:r>
        <w:rPr>
          <w:rFonts w:hint="eastAsia"/>
          <w:color w:val="auto"/>
          <w:w w:val="90"/>
          <w:sz w:val="24"/>
          <w:szCs w:val="28"/>
        </w:rPr>
        <w:t>、在产品生产过程中，不得使用对人体有害的材料和工艺，应优先考虑采用无污染或少污染材料、生产工艺、生产设备、先进的生产方法等，不得采用国家或地方已禁止使用的材料、生产工艺、生产设备。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lang w:val="en-US" w:eastAsia="zh-CN"/>
        </w:rPr>
        <w:t>3</w:t>
      </w:r>
      <w:r>
        <w:rPr>
          <w:rFonts w:hint="eastAsia"/>
          <w:color w:val="auto"/>
          <w:w w:val="90"/>
          <w:sz w:val="24"/>
          <w:szCs w:val="28"/>
        </w:rPr>
        <w:t>、在运输过程中，应保证运输车辆状况良好，</w:t>
      </w:r>
      <w:r>
        <w:rPr>
          <w:rFonts w:hint="eastAsia"/>
          <w:color w:val="auto"/>
          <w:w w:val="90"/>
          <w:sz w:val="24"/>
          <w:szCs w:val="28"/>
          <w:lang w:val="en-US" w:eastAsia="zh-CN"/>
        </w:rPr>
        <w:t>车辆行驶</w:t>
      </w:r>
      <w:r>
        <w:rPr>
          <w:rFonts w:hint="eastAsia"/>
          <w:color w:val="auto"/>
          <w:w w:val="90"/>
          <w:sz w:val="24"/>
          <w:szCs w:val="28"/>
        </w:rPr>
        <w:t>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lang w:val="en-US" w:eastAsia="zh-CN"/>
        </w:rPr>
        <w:t>4</w:t>
      </w:r>
      <w:r>
        <w:rPr>
          <w:rFonts w:hint="eastAsia"/>
          <w:color w:val="auto"/>
          <w:w w:val="90"/>
          <w:sz w:val="24"/>
          <w:szCs w:val="28"/>
        </w:rPr>
        <w:t>、为了督促相关方的人身安全保护行为，本公司将对需重点施加职业健康安全方面影响的相关方进行督促检查、验证。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w:t>
      </w:r>
      <w:r>
        <w:rPr>
          <w:rFonts w:hint="eastAsia"/>
          <w:color w:val="auto"/>
          <w:w w:val="90"/>
          <w:sz w:val="24"/>
          <w:szCs w:val="28"/>
          <w:lang w:val="en-US" w:eastAsia="zh-CN"/>
        </w:rPr>
        <w:t>保障</w:t>
      </w:r>
      <w:r>
        <w:rPr>
          <w:rFonts w:hint="eastAsia"/>
          <w:color w:val="auto"/>
          <w:w w:val="90"/>
          <w:sz w:val="24"/>
          <w:szCs w:val="28"/>
        </w:rPr>
        <w:t>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职业健康安全管理方针告之贵方，希望贵方人员进入本公司工作场所时，遵守相关的职业健康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pStyle w:val="2"/>
        <w:rPr>
          <w:rFonts w:hint="eastAsia"/>
        </w:rPr>
      </w:pPr>
      <w:bookmarkStart w:id="5" w:name="_GoBack"/>
      <w:bookmarkEnd w:id="5"/>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廊坊福洛斯建材有限公司</w:t>
      </w:r>
    </w:p>
    <w:p>
      <w:pPr>
        <w:rPr>
          <w:rFonts w:hint="eastAsia" w:eastAsia="黑体"/>
          <w:sz w:val="32"/>
        </w:rPr>
      </w:pPr>
      <w:r>
        <w:rPr>
          <w:rFonts w:hint="eastAsia"/>
          <w:color w:val="auto"/>
          <w:w w:val="90"/>
          <w:sz w:val="24"/>
          <w:szCs w:val="28"/>
        </w:rPr>
        <w:t xml:space="preserve">                                                 </w:t>
      </w:r>
      <w:r>
        <w:rPr>
          <w:rFonts w:hint="eastAsia"/>
          <w:color w:val="auto"/>
          <w:w w:val="90"/>
          <w:sz w:val="24"/>
          <w:szCs w:val="28"/>
          <w:lang w:val="en-US" w:eastAsia="zh-CN"/>
        </w:rPr>
        <w:t xml:space="preserve">     </w:t>
      </w:r>
      <w:r>
        <w:rPr>
          <w:rFonts w:hint="eastAsia"/>
          <w:color w:val="auto"/>
          <w:w w:val="90"/>
          <w:sz w:val="24"/>
          <w:szCs w:val="28"/>
        </w:rPr>
        <w:t>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1</w:t>
      </w:r>
      <w:r>
        <w:rPr>
          <w:rFonts w:hint="eastAsia"/>
          <w:color w:val="auto"/>
          <w:w w:val="90"/>
          <w:sz w:val="24"/>
          <w:szCs w:val="28"/>
        </w:rPr>
        <w:t>月</w:t>
      </w:r>
      <w:r>
        <w:rPr>
          <w:rFonts w:hint="eastAsia"/>
          <w:color w:val="auto"/>
          <w:w w:val="90"/>
          <w:sz w:val="24"/>
          <w:szCs w:val="28"/>
          <w:lang w:val="en-US" w:eastAsia="zh-CN"/>
        </w:rPr>
        <w:t>29</w:t>
      </w:r>
      <w:r>
        <w:rPr>
          <w:rFonts w:hint="eastAsia"/>
          <w:color w:val="auto"/>
          <w:w w:val="90"/>
          <w:sz w:val="24"/>
          <w:szCs w:val="28"/>
        </w:rPr>
        <w:t>日</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6E74CB4"/>
    <w:rsid w:val="69F34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2</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2021-01-28T07:59:08Z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