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96</w:t>
      </w:r>
      <w:r>
        <w:rPr>
          <w:rFonts w:ascii="Times New Roman" w:hAnsi="Times New Roman" w:cs="Times New Roman"/>
          <w:sz w:val="20"/>
          <w:szCs w:val="24"/>
          <w:u w:val="single"/>
        </w:rPr>
        <w:t>-2016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防喷器压力</w:t>
            </w:r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顶驱装配分厂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105MPa（保压6分钟泄压小于2.1MPa为合格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0.23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spacing w:line="4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测量范围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80-120</w:t>
            </w:r>
            <w:r>
              <w:rPr>
                <w:rFonts w:hint="eastAsia"/>
                <w:sz w:val="21"/>
                <w:szCs w:val="21"/>
                <w:lang w:eastAsia="zh-CN"/>
              </w:rPr>
              <w:t>）MPa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压力变送器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ind w:left="210" w:leftChars="0" w:hanging="210" w:hangingChars="100"/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（0-200）MPa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0.15%FS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K=2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val="en-US" w:eastAsia="zh-CN"/>
              </w:rPr>
              <w:t>JH/QD-JL-52</w:t>
            </w:r>
            <w:r>
              <w:rPr>
                <w:rFonts w:hint="eastAsia" w:ascii="黑体" w:eastAsia="黑体"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WYC微机高压测试系统使用说明书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魏兴友（培训上岗）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2466340</wp:posOffset>
                  </wp:positionH>
                  <wp:positionV relativeFrom="page">
                    <wp:posOffset>972185</wp:posOffset>
                  </wp:positionV>
                  <wp:extent cx="909320" cy="590550"/>
                  <wp:effectExtent l="0" t="0" r="0" b="0"/>
                  <wp:wrapNone/>
                  <wp:docPr id="2" name="图片 2" descr="微信图片_20201209204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12092042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263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白鹭</cp:lastModifiedBy>
  <cp:lastPrinted>2017-03-07T01:14:00Z</cp:lastPrinted>
  <dcterms:modified xsi:type="dcterms:W3CDTF">2021-01-25T06:52:33Z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