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江西中建建材有限公司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auto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auto"/>
                <w:lang w:val="en-US" w:eastAsia="zh-CN"/>
              </w:rPr>
              <w:t>环境因素辨识中建议增加潜在火灾影响。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未评价相关的职业健康安全机遇，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pacing w:val="-6"/>
                <w:sz w:val="21"/>
                <w:szCs w:val="21"/>
                <w:lang w:val="en-US" w:eastAsia="zh-CN"/>
              </w:rPr>
              <w:t>建议保留培训签到表。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建议对涉及粉尘、噪声等岗位员工进行职业危害体检，同时每三年进行一次职业危害因素监测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1749A8"/>
    <w:rsid w:val="3C65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lenovo1018</cp:lastModifiedBy>
  <dcterms:modified xsi:type="dcterms:W3CDTF">2021-02-01T07:57:28Z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