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</w:rPr>
              <w:t>天成物业服务有限公司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</w:rPr>
              <w:t>高树茂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远程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项目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部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人员进行配电运维作业，没有穿绝缘鞋，不符合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1.2.23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1.2.23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审核员：</w:t>
            </w:r>
            <w:r>
              <w:drawing>
                <wp:inline distT="0" distB="0" distL="114300" distR="114300">
                  <wp:extent cx="691515" cy="436245"/>
                  <wp:effectExtent l="0" t="0" r="6985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2021.2.23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远程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项目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部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人员进行配电运维作业，没有穿绝缘鞋，不符合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1）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2021.2.23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2021.2.23</w:t>
      </w:r>
      <w:bookmarkStart w:id="0" w:name="_GoBack"/>
      <w:bookmarkEnd w:id="0"/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273F8A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4E8D40CD"/>
    <w:rsid w:val="54E6561E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3</TotalTime>
  <ScaleCrop>false</ScaleCrop>
  <LinksUpToDate>false</LinksUpToDate>
  <CharactersWithSpaces>1102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2021-02-22T04:56:25Z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