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蒸馏仪额定电流</w:t>
      </w:r>
      <w:r>
        <w:rPr>
          <w:rFonts w:hint="eastAsia"/>
          <w:b/>
          <w:bCs/>
          <w:sz w:val="32"/>
          <w:szCs w:val="32"/>
        </w:rPr>
        <w:t>测量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过程不确定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Q/0500 DTB001-2019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原油水含量测定器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蒸馏法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、及仪器使用说明书和相关操作规范。　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温。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万用表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（0-10）A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  <w:t xml:space="preserve">0.5%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  <w:lang w:bidi="ar"/>
        </w:rPr>
        <w:t>k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  <w:lang w:val="en-US" w:eastAsia="zh-CN"/>
        </w:rPr>
        <w:t>蒸馏仪额定电流≤7A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将被测物件放置在试验台上，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万用表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接线，</w:t>
      </w:r>
      <w:bookmarkStart w:id="0" w:name="_GoBack"/>
      <w:bookmarkEnd w:id="0"/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对通电回路进行测量，读取万用表的示值即为额定电流的测得值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额定电流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额定电流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的标准不确定度。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做A类评定测量：在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只钢直尺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，在相临近的时间内，对被测试件连续测量10次，得10个测量数据汇于表1：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70"/>
        <w:gridCol w:w="754"/>
        <w:gridCol w:w="714"/>
        <w:gridCol w:w="718"/>
        <w:gridCol w:w="765"/>
        <w:gridCol w:w="680"/>
        <w:gridCol w:w="754"/>
        <w:gridCol w:w="714"/>
        <w:gridCol w:w="718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.7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.7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.7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.7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.7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.7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position w:val="-26"/>
          <w:sz w:val="24"/>
          <w:szCs w:val="24"/>
        </w:rPr>
        <w:object>
          <v:shape id="_x0000_i1025" o:spt="75" type="#_x0000_t75" style="height:37.45pt;width:11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6"/>
          <w:sz w:val="24"/>
          <w:szCs w:val="24"/>
          <w:lang w:val="en-US" w:eastAsia="zh-CN"/>
        </w:rPr>
        <w:t>=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6" o:spt="75" type="#_x0000_t75" style="height:44pt;width:171.9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0.052A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的校准证书，出具的不确定度为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bidi="ar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rel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=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0.5% 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bidi="ar"/>
        </w:rPr>
        <w:t>k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则由设备示值误差引入的不确定分量为：</w:t>
      </w:r>
    </w:p>
    <w:p>
      <w:pPr>
        <w:spacing w:line="360" w:lineRule="auto"/>
        <w:ind w:left="-142" w:firstLine="2980" w:firstLineChars="1242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7" o:spt="75" type="#_x0000_t75" style="height:33.85pt;width:16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28" o:spt="75" type="#_x0000_t75" style="height:25.3pt;width:23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055A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11A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2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2115640"/>
    <w:rsid w:val="02671BF7"/>
    <w:rsid w:val="0316364E"/>
    <w:rsid w:val="03317A9C"/>
    <w:rsid w:val="040850C3"/>
    <w:rsid w:val="044770B2"/>
    <w:rsid w:val="04523DB8"/>
    <w:rsid w:val="04F5786C"/>
    <w:rsid w:val="05C570E8"/>
    <w:rsid w:val="07F3591A"/>
    <w:rsid w:val="0A343286"/>
    <w:rsid w:val="0B233494"/>
    <w:rsid w:val="0CAF6225"/>
    <w:rsid w:val="0CDC1E1E"/>
    <w:rsid w:val="0D2A57EB"/>
    <w:rsid w:val="0D3120CE"/>
    <w:rsid w:val="0D946657"/>
    <w:rsid w:val="0DA62378"/>
    <w:rsid w:val="0E77316D"/>
    <w:rsid w:val="0F6F6C10"/>
    <w:rsid w:val="0F9E2ADD"/>
    <w:rsid w:val="103546B6"/>
    <w:rsid w:val="106F3DD8"/>
    <w:rsid w:val="11756DF2"/>
    <w:rsid w:val="129E55DA"/>
    <w:rsid w:val="12AD7BDB"/>
    <w:rsid w:val="15CD7DCC"/>
    <w:rsid w:val="168E01AB"/>
    <w:rsid w:val="17111B0C"/>
    <w:rsid w:val="17702E31"/>
    <w:rsid w:val="185D1269"/>
    <w:rsid w:val="18791403"/>
    <w:rsid w:val="18CC1156"/>
    <w:rsid w:val="197605FA"/>
    <w:rsid w:val="1A4B39BB"/>
    <w:rsid w:val="1A653E1C"/>
    <w:rsid w:val="1B9D388C"/>
    <w:rsid w:val="1EA1737C"/>
    <w:rsid w:val="1EB56195"/>
    <w:rsid w:val="1F4C4200"/>
    <w:rsid w:val="20A529D7"/>
    <w:rsid w:val="21EF0DC2"/>
    <w:rsid w:val="22610C1B"/>
    <w:rsid w:val="234C6925"/>
    <w:rsid w:val="23D80F9B"/>
    <w:rsid w:val="243056A1"/>
    <w:rsid w:val="25312398"/>
    <w:rsid w:val="25BD5B23"/>
    <w:rsid w:val="25F34BD3"/>
    <w:rsid w:val="2619562B"/>
    <w:rsid w:val="26DE416C"/>
    <w:rsid w:val="27390113"/>
    <w:rsid w:val="27BE054C"/>
    <w:rsid w:val="281276AA"/>
    <w:rsid w:val="28657BFA"/>
    <w:rsid w:val="28AB5996"/>
    <w:rsid w:val="2A525CA9"/>
    <w:rsid w:val="2AB8578C"/>
    <w:rsid w:val="2B226431"/>
    <w:rsid w:val="2B262629"/>
    <w:rsid w:val="2B4B4BD4"/>
    <w:rsid w:val="2B751D34"/>
    <w:rsid w:val="2C28712E"/>
    <w:rsid w:val="2C620D55"/>
    <w:rsid w:val="2DA61C57"/>
    <w:rsid w:val="2E736B0E"/>
    <w:rsid w:val="2EAC2ED3"/>
    <w:rsid w:val="2ECF1DA3"/>
    <w:rsid w:val="2EE35B7F"/>
    <w:rsid w:val="2F160B64"/>
    <w:rsid w:val="2F591F99"/>
    <w:rsid w:val="2FAC229C"/>
    <w:rsid w:val="2FE72CCC"/>
    <w:rsid w:val="30DA40DB"/>
    <w:rsid w:val="32460970"/>
    <w:rsid w:val="34DB14BC"/>
    <w:rsid w:val="351957ED"/>
    <w:rsid w:val="35AE7103"/>
    <w:rsid w:val="360719D2"/>
    <w:rsid w:val="37047311"/>
    <w:rsid w:val="373A5911"/>
    <w:rsid w:val="384C52B2"/>
    <w:rsid w:val="386D3BC3"/>
    <w:rsid w:val="389C0EE1"/>
    <w:rsid w:val="38B22018"/>
    <w:rsid w:val="397D5A4F"/>
    <w:rsid w:val="39A35F89"/>
    <w:rsid w:val="3A5F7CB0"/>
    <w:rsid w:val="3B1C2FCD"/>
    <w:rsid w:val="3B3B6DF8"/>
    <w:rsid w:val="3BCF58EA"/>
    <w:rsid w:val="3CB83D07"/>
    <w:rsid w:val="3DEC22DB"/>
    <w:rsid w:val="3E19630B"/>
    <w:rsid w:val="3EEE7312"/>
    <w:rsid w:val="3F3E498D"/>
    <w:rsid w:val="3F764E59"/>
    <w:rsid w:val="3F7D1816"/>
    <w:rsid w:val="40197D69"/>
    <w:rsid w:val="40773E38"/>
    <w:rsid w:val="41473558"/>
    <w:rsid w:val="42732272"/>
    <w:rsid w:val="454C4A39"/>
    <w:rsid w:val="45614AB1"/>
    <w:rsid w:val="463069A0"/>
    <w:rsid w:val="46EF1A47"/>
    <w:rsid w:val="47914BF4"/>
    <w:rsid w:val="47C376E7"/>
    <w:rsid w:val="48646DEF"/>
    <w:rsid w:val="490E5D78"/>
    <w:rsid w:val="4A02072C"/>
    <w:rsid w:val="4A3E282A"/>
    <w:rsid w:val="4A546E21"/>
    <w:rsid w:val="4A8C1680"/>
    <w:rsid w:val="4B8378D3"/>
    <w:rsid w:val="4BAF2EF0"/>
    <w:rsid w:val="4D63663A"/>
    <w:rsid w:val="4E2843F9"/>
    <w:rsid w:val="4EA6042C"/>
    <w:rsid w:val="4F745F83"/>
    <w:rsid w:val="507E2ADE"/>
    <w:rsid w:val="517D5F39"/>
    <w:rsid w:val="51917536"/>
    <w:rsid w:val="520E18AC"/>
    <w:rsid w:val="52136D0A"/>
    <w:rsid w:val="52181816"/>
    <w:rsid w:val="52CE3434"/>
    <w:rsid w:val="531E4BB6"/>
    <w:rsid w:val="538066BD"/>
    <w:rsid w:val="54A57465"/>
    <w:rsid w:val="552F2580"/>
    <w:rsid w:val="55300465"/>
    <w:rsid w:val="55423F4E"/>
    <w:rsid w:val="55464DF3"/>
    <w:rsid w:val="5562114A"/>
    <w:rsid w:val="5571359D"/>
    <w:rsid w:val="55B96904"/>
    <w:rsid w:val="55FD1495"/>
    <w:rsid w:val="57075210"/>
    <w:rsid w:val="57395B61"/>
    <w:rsid w:val="582D1BA2"/>
    <w:rsid w:val="58C9316B"/>
    <w:rsid w:val="59F10F93"/>
    <w:rsid w:val="5A34480A"/>
    <w:rsid w:val="5A4763F3"/>
    <w:rsid w:val="5A4C5D70"/>
    <w:rsid w:val="5B061C74"/>
    <w:rsid w:val="5B9642B7"/>
    <w:rsid w:val="5C9D43D6"/>
    <w:rsid w:val="5CD24D0E"/>
    <w:rsid w:val="5D526D2F"/>
    <w:rsid w:val="5D6E73AA"/>
    <w:rsid w:val="5D90517C"/>
    <w:rsid w:val="5DD75F7C"/>
    <w:rsid w:val="5E7536C9"/>
    <w:rsid w:val="5ED465AE"/>
    <w:rsid w:val="5EFF011E"/>
    <w:rsid w:val="601E2160"/>
    <w:rsid w:val="606F2050"/>
    <w:rsid w:val="609F7046"/>
    <w:rsid w:val="61A856F1"/>
    <w:rsid w:val="627D3DDC"/>
    <w:rsid w:val="634250FA"/>
    <w:rsid w:val="636F7149"/>
    <w:rsid w:val="63902534"/>
    <w:rsid w:val="640E0FC4"/>
    <w:rsid w:val="65054020"/>
    <w:rsid w:val="667B3831"/>
    <w:rsid w:val="66BB6B9C"/>
    <w:rsid w:val="67276265"/>
    <w:rsid w:val="6804744D"/>
    <w:rsid w:val="695828FB"/>
    <w:rsid w:val="6ADA5099"/>
    <w:rsid w:val="6B0937FB"/>
    <w:rsid w:val="6B380FE5"/>
    <w:rsid w:val="6BC5084F"/>
    <w:rsid w:val="6BD477EC"/>
    <w:rsid w:val="6CEF600F"/>
    <w:rsid w:val="6D440DFA"/>
    <w:rsid w:val="6E827F52"/>
    <w:rsid w:val="6FCE3C4B"/>
    <w:rsid w:val="7083777C"/>
    <w:rsid w:val="71A837F6"/>
    <w:rsid w:val="735A0ECB"/>
    <w:rsid w:val="739A109D"/>
    <w:rsid w:val="7415715D"/>
    <w:rsid w:val="744F372E"/>
    <w:rsid w:val="752E132E"/>
    <w:rsid w:val="75441D6A"/>
    <w:rsid w:val="761D2545"/>
    <w:rsid w:val="76782D4F"/>
    <w:rsid w:val="768A56E5"/>
    <w:rsid w:val="76D91BEF"/>
    <w:rsid w:val="777A649B"/>
    <w:rsid w:val="780C0015"/>
    <w:rsid w:val="782E2298"/>
    <w:rsid w:val="7869696E"/>
    <w:rsid w:val="787A2E35"/>
    <w:rsid w:val="78BF3772"/>
    <w:rsid w:val="7A372269"/>
    <w:rsid w:val="7AB02F7C"/>
    <w:rsid w:val="7AD6108C"/>
    <w:rsid w:val="7C6A4D6B"/>
    <w:rsid w:val="7C964FDD"/>
    <w:rsid w:val="7D2B6D03"/>
    <w:rsid w:val="7D772168"/>
    <w:rsid w:val="7D7A7867"/>
    <w:rsid w:val="7D8255E9"/>
    <w:rsid w:val="7DC32556"/>
    <w:rsid w:val="7E5C07A9"/>
    <w:rsid w:val="7E652938"/>
    <w:rsid w:val="7F2966D1"/>
    <w:rsid w:val="7FCA50E5"/>
    <w:rsid w:val="7FF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6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2021-03-04T01:48:05Z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