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李蒙生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2020-N1QMS-1237307</w:t>
            </w:r>
          </w:p>
          <w:p>
            <w:pPr>
              <w:jc w:val="center"/>
              <w:rPr>
                <w:b/>
                <w:sz w:val="21"/>
                <w:szCs w:val="21"/>
              </w:rPr>
            </w:pPr>
            <w:r>
              <w:rPr>
                <w:b/>
                <w:sz w:val="21"/>
                <w:szCs w:val="21"/>
              </w:rPr>
              <w:t>2020-N1EMS-1237307</w:t>
            </w:r>
          </w:p>
          <w:p>
            <w:pPr>
              <w:jc w:val="center"/>
              <w:rPr>
                <w:b/>
                <w:sz w:val="21"/>
                <w:szCs w:val="21"/>
              </w:rPr>
            </w:pPr>
            <w:r>
              <w:rPr>
                <w:b/>
                <w:sz w:val="21"/>
                <w:szCs w:val="21"/>
              </w:rPr>
              <w:t>2020-N1OHSMS-1237307</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ISC-237307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王涵</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ISC-JSZJ-257</w:t>
            </w:r>
          </w:p>
          <w:p>
            <w:pPr>
              <w:jc w:val="center"/>
              <w:rPr>
                <w:b/>
                <w:sz w:val="21"/>
                <w:szCs w:val="21"/>
              </w:rPr>
            </w:pPr>
            <w:r>
              <w:rPr>
                <w:b/>
                <w:sz w:val="21"/>
                <w:szCs w:val="21"/>
              </w:rPr>
              <w:t>ISC-JSZJ-257</w:t>
            </w:r>
          </w:p>
          <w:p>
            <w:pPr>
              <w:jc w:val="center"/>
              <w:rPr>
                <w:b/>
                <w:sz w:val="21"/>
                <w:szCs w:val="21"/>
              </w:rPr>
            </w:pPr>
            <w:r>
              <w:rPr>
                <w:b/>
                <w:sz w:val="21"/>
                <w:szCs w:val="21"/>
              </w:rPr>
              <w:t>ISC-JSZJ-257</w:t>
            </w:r>
          </w:p>
          <w:p>
            <w:pPr>
              <w:jc w:val="center"/>
              <w:rPr>
                <w:b/>
                <w:sz w:val="21"/>
                <w:szCs w:val="21"/>
              </w:rPr>
            </w:pPr>
            <w:r>
              <w:rPr>
                <w:b/>
                <w:sz w:val="21"/>
                <w:szCs w:val="21"/>
              </w:rPr>
              <w:t>河北科雨防水材料有限公司</w:t>
            </w:r>
          </w:p>
        </w:tc>
        <w:tc>
          <w:tcPr>
            <w:tcW w:w="1728" w:type="dxa"/>
            <w:gridSpan w:val="2"/>
            <w:vAlign w:val="center"/>
          </w:tcPr>
          <w:p>
            <w:pPr>
              <w:jc w:val="center"/>
              <w:rPr>
                <w:b/>
                <w:sz w:val="21"/>
                <w:szCs w:val="21"/>
              </w:rPr>
            </w:pPr>
            <w:r>
              <w:rPr>
                <w:b/>
                <w:sz w:val="21"/>
                <w:szCs w:val="21"/>
              </w:rPr>
              <w:t>Q:18.02.06</w:t>
            </w:r>
          </w:p>
          <w:p>
            <w:pPr>
              <w:jc w:val="center"/>
              <w:rPr>
                <w:b/>
                <w:sz w:val="21"/>
                <w:szCs w:val="21"/>
              </w:rPr>
            </w:pPr>
            <w:r>
              <w:rPr>
                <w:b/>
                <w:sz w:val="21"/>
                <w:szCs w:val="21"/>
              </w:rPr>
              <w:t>E:18.02.06</w:t>
            </w:r>
          </w:p>
          <w:p>
            <w:pPr>
              <w:jc w:val="center"/>
              <w:rPr>
                <w:b/>
                <w:sz w:val="21"/>
                <w:szCs w:val="21"/>
              </w:rPr>
            </w:pPr>
            <w:r>
              <w:rPr>
                <w:b/>
                <w:sz w:val="21"/>
                <w:szCs w:val="21"/>
              </w:rPr>
              <w:t>O:18.02.06</w:t>
            </w:r>
          </w:p>
        </w:tc>
        <w:tc>
          <w:tcPr>
            <w:tcW w:w="1729" w:type="dxa"/>
            <w:gridSpan w:val="2"/>
            <w:vAlign w:val="center"/>
          </w:tcPr>
          <w:p>
            <w:pPr>
              <w:jc w:val="center"/>
              <w:rPr>
                <w:b/>
                <w:sz w:val="21"/>
                <w:szCs w:val="21"/>
              </w:rPr>
            </w:pPr>
            <w:r>
              <w:rPr>
                <w:b/>
                <w:sz w:val="21"/>
                <w:szCs w:val="21"/>
              </w:rPr>
              <w:t>ISC-JSZJ-257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rFonts w:hint="eastAsia" w:eastAsia="宋体"/>
                <w:b/>
                <w:sz w:val="21"/>
                <w:szCs w:val="21"/>
                <w:lang w:val="en-US" w:eastAsia="zh-CN"/>
              </w:rPr>
            </w:pPr>
            <w:r>
              <w:rPr>
                <w:rFonts w:hint="eastAsia"/>
                <w:b/>
                <w:sz w:val="21"/>
                <w:szCs w:val="21"/>
                <w:lang w:val="en-US" w:eastAsia="zh-CN"/>
              </w:rPr>
              <w:t>/</w:t>
            </w: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rFonts w:hint="eastAsia" w:eastAsia="宋体"/>
                <w:b/>
                <w:sz w:val="21"/>
                <w:szCs w:val="21"/>
                <w:lang w:val="en-US" w:eastAsia="zh-CN"/>
              </w:rPr>
            </w:pPr>
            <w:r>
              <w:rPr>
                <w:rFonts w:hint="eastAsia"/>
                <w:b/>
                <w:sz w:val="21"/>
                <w:szCs w:val="21"/>
                <w:lang w:val="en-US" w:eastAsia="zh-CN"/>
              </w:rPr>
              <w:t>/</w:t>
            </w: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rFonts w:hint="eastAsia" w:eastAsia="宋体"/>
                <w:b/>
                <w:sz w:val="21"/>
                <w:szCs w:val="21"/>
                <w:lang w:val="en-US" w:eastAsia="zh-CN"/>
              </w:rPr>
            </w:pPr>
            <w:r>
              <w:rPr>
                <w:rFonts w:hint="eastAsia"/>
                <w:b/>
                <w:sz w:val="21"/>
                <w:szCs w:val="21"/>
                <w:lang w:val="en-US" w:eastAsia="zh-CN"/>
              </w:rPr>
              <w:t>/</w:t>
            </w: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lang w:val="en-US" w:eastAsia="zh-CN"/>
              </w:rPr>
            </w:pPr>
            <w:r>
              <w:rPr>
                <w:rFonts w:hint="eastAsia"/>
                <w:b/>
                <w:lang w:val="en-US" w:eastAsia="zh-CN"/>
              </w:rPr>
              <w:t>/</w:t>
            </w: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018" w:type="dxa"/>
            <w:vAlign w:val="center"/>
          </w:tcPr>
          <w:p>
            <w:pPr>
              <w:jc w:val="center"/>
              <w:rPr>
                <w:rFonts w:hint="eastAsia" w:eastAsia="宋体"/>
                <w:b/>
                <w:lang w:val="en-US" w:eastAsia="zh-CN"/>
              </w:rPr>
            </w:pPr>
            <w:r>
              <w:rPr>
                <w:rFonts w:hint="eastAsia"/>
                <w:b/>
                <w:lang w:val="en-US" w:eastAsia="zh-CN"/>
              </w:rPr>
              <w:t>/</w:t>
            </w: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w:t>
      </w:r>
      <w:r>
        <w:rPr>
          <w:rFonts w:ascii="宋体"/>
          <w:b/>
          <w:color w:val="auto"/>
          <w:sz w:val="21"/>
        </w:rPr>
        <w:t>河北展利防水机械装备有限公司</w:t>
      </w: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河北展利防水机械装备有限公司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新乐市无繁公路南侧、同常店村西、机场路东侧</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050700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新乐市无繁公路南侧、同常店村西、机场路东侧</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050700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新乐市无繁公路南侧、同常店村西、机场路东侧</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050700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默丽婷</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0311-88559933</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展利</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贺英</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2021年03月15日 上午至2021年03月18日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rPr>
              <w:t>防水卷材设备的生产</w:t>
            </w:r>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rPr>
              <w:t>防水卷材设备的生产所涉及的相关环境管理活动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rPr>
              <w:t>防水卷材设备的生产所涉及的相关职业健康安全管理活动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Q：18.02.06</w:t>
            </w:r>
          </w:p>
          <w:p>
            <w:pPr>
              <w:spacing w:line="260" w:lineRule="exact"/>
              <w:rPr>
                <w:rFonts w:ascii="宋体" w:hAnsi="宋体"/>
                <w:b/>
                <w:sz w:val="21"/>
                <w:szCs w:val="21"/>
              </w:rPr>
            </w:pPr>
            <w:r>
              <w:rPr>
                <w:rFonts w:ascii="宋体" w:hAnsi="宋体"/>
                <w:b/>
                <w:sz w:val="21"/>
                <w:szCs w:val="21"/>
              </w:rPr>
              <w:t>E：18.02.06</w:t>
            </w:r>
          </w:p>
          <w:p>
            <w:pPr>
              <w:spacing w:line="260" w:lineRule="exact"/>
              <w:rPr>
                <w:rFonts w:ascii="宋体" w:hAnsi="宋体"/>
                <w:b/>
                <w:sz w:val="21"/>
                <w:szCs w:val="21"/>
              </w:rPr>
            </w:pPr>
            <w:r>
              <w:rPr>
                <w:rFonts w:ascii="宋体" w:hAnsi="宋体"/>
                <w:b/>
                <w:sz w:val="21"/>
                <w:szCs w:val="21"/>
              </w:rPr>
              <w:t>O：18.02.06</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2021.12.27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2020.3.10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河北展利防水机械装备有限公司，  注册地址：新乐市无繁公路南侧、同常店村西、机场路东侧</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统一社会信用代码：91130184095208903E  经营期限：2014-04-16 - 2034-04-15</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经营范围：防水卷材设备、环保设备、机械设备、供暖设备、换热器、换热机组、直连机组、无负压供水设备的生产、销售、安装及压力管道的安装。（依法须经批准的项目，经相关部门批准后方可开展经营活动）</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见到营业执照，符合要求</w:t>
            </w:r>
          </w:p>
          <w:p>
            <w:pPr>
              <w:spacing w:line="240" w:lineRule="exact"/>
              <w:rPr>
                <w:rFonts w:ascii="宋体" w:hAnsi="宋体"/>
                <w:b/>
                <w:sz w:val="21"/>
                <w:szCs w:val="21"/>
              </w:rPr>
            </w:pPr>
            <w:r>
              <w:rPr>
                <w:rFonts w:hint="eastAsia" w:ascii="宋体" w:hAnsi="宋体"/>
                <w:b w:val="0"/>
                <w:bCs/>
                <w:color w:val="auto"/>
                <w:sz w:val="21"/>
                <w:szCs w:val="21"/>
                <w:lang w:val="en-US" w:eastAsia="zh-CN"/>
              </w:rPr>
              <w:t>固定污染源排污登记</w:t>
            </w:r>
            <w:r>
              <w:rPr>
                <w:rFonts w:hint="default" w:ascii="宋体" w:hAnsi="宋体"/>
                <w:b w:val="0"/>
                <w:bCs/>
                <w:color w:val="auto"/>
                <w:sz w:val="21"/>
                <w:szCs w:val="21"/>
                <w:lang w:val="en-US" w:eastAsia="zh-CN"/>
              </w:rPr>
              <w:t xml:space="preserve">  有效期：2019.</w:t>
            </w:r>
            <w:r>
              <w:rPr>
                <w:rFonts w:hint="eastAsia" w:ascii="宋体" w:hAnsi="宋体"/>
                <w:b w:val="0"/>
                <w:bCs/>
                <w:color w:val="auto"/>
                <w:sz w:val="21"/>
                <w:szCs w:val="21"/>
                <w:lang w:val="en-US" w:eastAsia="zh-CN"/>
              </w:rPr>
              <w:t>11</w:t>
            </w:r>
            <w:r>
              <w:rPr>
                <w:rFonts w:hint="default" w:ascii="宋体" w:hAnsi="宋体"/>
                <w:b w:val="0"/>
                <w:bCs/>
                <w:color w:val="auto"/>
                <w:sz w:val="21"/>
                <w:szCs w:val="21"/>
                <w:lang w:val="en-US" w:eastAsia="zh-CN"/>
              </w:rPr>
              <w:t>.</w:t>
            </w:r>
            <w:r>
              <w:rPr>
                <w:rFonts w:hint="eastAsia" w:ascii="宋体" w:hAnsi="宋体"/>
                <w:b w:val="0"/>
                <w:bCs/>
                <w:color w:val="auto"/>
                <w:sz w:val="21"/>
                <w:szCs w:val="21"/>
                <w:lang w:val="en-US" w:eastAsia="zh-CN"/>
              </w:rPr>
              <w:t>02</w:t>
            </w:r>
            <w:r>
              <w:rPr>
                <w:rFonts w:hint="default" w:ascii="宋体" w:hAnsi="宋体"/>
                <w:b w:val="0"/>
                <w:bCs/>
                <w:color w:val="auto"/>
                <w:sz w:val="21"/>
                <w:szCs w:val="21"/>
                <w:lang w:val="en-US" w:eastAsia="zh-CN"/>
              </w:rPr>
              <w:t>-202</w:t>
            </w:r>
            <w:r>
              <w:rPr>
                <w:rFonts w:hint="eastAsia" w:ascii="宋体" w:hAnsi="宋体"/>
                <w:b w:val="0"/>
                <w:bCs/>
                <w:color w:val="auto"/>
                <w:sz w:val="21"/>
                <w:szCs w:val="21"/>
                <w:lang w:val="en-US" w:eastAsia="zh-CN"/>
              </w:rPr>
              <w:t>4</w:t>
            </w:r>
            <w:r>
              <w:rPr>
                <w:rFonts w:hint="default" w:ascii="宋体" w:hAnsi="宋体"/>
                <w:b w:val="0"/>
                <w:bCs/>
                <w:color w:val="auto"/>
                <w:sz w:val="21"/>
                <w:szCs w:val="21"/>
                <w:lang w:val="en-US" w:eastAsia="zh-CN"/>
              </w:rPr>
              <w:t>.</w:t>
            </w:r>
            <w:r>
              <w:rPr>
                <w:rFonts w:hint="eastAsia" w:ascii="宋体" w:hAnsi="宋体"/>
                <w:b w:val="0"/>
                <w:bCs/>
                <w:color w:val="auto"/>
                <w:sz w:val="21"/>
                <w:szCs w:val="21"/>
                <w:lang w:val="en-US" w:eastAsia="zh-CN"/>
              </w:rPr>
              <w:t>11</w:t>
            </w:r>
            <w:r>
              <w:rPr>
                <w:rFonts w:hint="default" w:ascii="宋体" w:hAnsi="宋体"/>
                <w:b w:val="0"/>
                <w:bCs/>
                <w:color w:val="auto"/>
                <w:sz w:val="21"/>
                <w:szCs w:val="21"/>
                <w:lang w:val="en-US" w:eastAsia="zh-CN"/>
              </w:rPr>
              <w:t>.</w:t>
            </w:r>
            <w:r>
              <w:rPr>
                <w:rFonts w:hint="eastAsia" w:ascii="宋体" w:hAnsi="宋体"/>
                <w:b w:val="0"/>
                <w:bCs/>
                <w:color w:val="auto"/>
                <w:sz w:val="21"/>
                <w:szCs w:val="21"/>
                <w:lang w:val="en-US" w:eastAsia="zh-CN"/>
              </w:rPr>
              <w:t>01，符合要求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240" w:leftChars="0" w:firstLineChars="0"/>
              <w:rPr>
                <w:rFonts w:hint="eastAsia" w:ascii="宋体" w:hAnsi="宋体"/>
                <w:b/>
                <w:sz w:val="21"/>
                <w:szCs w:val="21"/>
              </w:rPr>
            </w:pPr>
            <w:r>
              <w:rPr>
                <w:rFonts w:hint="eastAsia" w:ascii="宋体" w:hAnsi="宋体"/>
                <w:b/>
                <w:sz w:val="21"/>
                <w:szCs w:val="21"/>
              </w:rPr>
              <w:t>相关方需求和期望识别情况</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在公司运营过程中充分考虑相关方方面的期望或要求，识别的相关方有：顾客、最终用户或受益人、业主，股东、员工等。生产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ascii="宋体" w:hAnsi="宋体" w:eastAsia="宋体" w:cs="Times New Roman"/>
                <w:b w:val="0"/>
                <w:bCs/>
                <w:color w:val="auto"/>
                <w:sz w:val="21"/>
                <w:szCs w:val="21"/>
                <w:lang w:val="en-US" w:eastAsia="zh-C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eastAsia="宋体" w:cs="Times New Roman"/>
                <w:b w:val="0"/>
                <w:bCs/>
                <w:color w:val="auto"/>
                <w:sz w:val="21"/>
                <w:szCs w:val="21"/>
                <w:lang w:val="en-US" w:eastAsia="zh-CN"/>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eastAsia="宋体" w:cs="Times New Roman"/>
                <w:b w:val="0"/>
                <w:bCs/>
                <w:color w:val="auto"/>
                <w:sz w:val="21"/>
                <w:szCs w:val="21"/>
                <w:lang w:val="en-US" w:eastAsia="zh-CN"/>
              </w:rPr>
              <w:t>该企业的管理方针是：</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安全第一、保障健康       质量为本、规范生产</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减少污染、节能降耗       遵纪守法、持续改进</w:t>
            </w:r>
          </w:p>
          <w:p>
            <w:pPr>
              <w:spacing w:line="240" w:lineRule="exact"/>
              <w:rPr>
                <w:rFonts w:ascii="宋体" w:hAnsi="宋体"/>
                <w:b/>
                <w:sz w:val="21"/>
                <w:szCs w:val="21"/>
              </w:rPr>
            </w:pPr>
            <w:r>
              <w:rPr>
                <w:rFonts w:hint="eastAsia" w:ascii="宋体" w:hAnsi="宋体" w:eastAsia="宋体" w:cs="Times New Roman"/>
                <w:b w:val="0"/>
                <w:bCs/>
                <w:color w:val="auto"/>
                <w:sz w:val="21"/>
                <w:szCs w:val="21"/>
                <w:lang w:val="en-US" w:eastAsia="zh-CN"/>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numId w:val="0"/>
              </w:numPr>
              <w:ind w:left="240"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ascii="宋体" w:hAnsi="宋体"/>
                <w:b/>
                <w:sz w:val="21"/>
                <w:szCs w:val="21"/>
              </w:rPr>
            </w:pPr>
            <w:r>
              <w:rPr>
                <w:rFonts w:hint="eastAsia" w:ascii="宋体" w:hAnsi="宋体" w:eastAsia="宋体" w:cs="Times New Roman"/>
                <w:b w:val="0"/>
                <w:bCs/>
                <w:color w:val="auto"/>
                <w:sz w:val="21"/>
                <w:szCs w:val="21"/>
                <w:lang w:val="en-US" w:eastAsia="zh-CN"/>
              </w:rPr>
              <w:t>提供了“2020年度 SWOT经营环境分析及对策报告”，对影响公司经营和发展的各种因素（内外部环境、相关方要求等）进行分析，确定需要应对的风险和机遇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cs="宋体"/>
                <w:sz w:val="21"/>
                <w:szCs w:val="21"/>
              </w:rPr>
              <w:t>各种原料—机加工/喷砂—焊接—电器套件组装—喷漆—总装调试—检验—包装</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eastAsia="宋体" w:cs="宋体"/>
                <w:bCs/>
                <w:spacing w:val="10"/>
                <w:kern w:val="2"/>
                <w:sz w:val="21"/>
                <w:szCs w:val="21"/>
                <w:lang w:val="en-US" w:eastAsia="zh-CN" w:bidi="ar-SA"/>
              </w:rPr>
              <w:t xml:space="preserve">焊接过程、喷涂过程 </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宋体"/>
                <w:bCs/>
                <w:spacing w:val="10"/>
                <w:kern w:val="2"/>
                <w:sz w:val="21"/>
                <w:szCs w:val="21"/>
                <w:lang w:val="en-US" w:eastAsia="zh-CN" w:bidi="ar-SA"/>
              </w:rPr>
              <w:t xml:space="preserve">焊接过程、喷涂过程 </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无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编制了《环境因素的识别与评价控制程序》符合标准要求.</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提供的“环境因素识别评价表”“重要环境因素清单”， 评价考虑了三种时态现在、过去、将来、三种状态、异常、正常、紧急考虑了法律法规，并进行了评价，针对防水卷材设备的生产管理过程，用打分法考虑了法规符合性、发生频次、影响范围等, 通过定性判断法，共识别出重大环境因素4项：火灾、废气、噪声、固废排放，评价符合程序要求及公司的实际情况。</w:t>
            </w:r>
          </w:p>
          <w:p>
            <w:pPr>
              <w:spacing w:line="240" w:lineRule="exact"/>
              <w:rPr>
                <w:rFonts w:ascii="宋体" w:hAnsi="宋体"/>
                <w:b/>
                <w:sz w:val="21"/>
                <w:szCs w:val="21"/>
              </w:rPr>
            </w:pPr>
            <w:r>
              <w:rPr>
                <w:rFonts w:hint="eastAsia" w:ascii="宋体" w:hAnsi="宋体" w:eastAsia="宋体" w:cs="Times New Roman"/>
                <w:b w:val="0"/>
                <w:bCs/>
                <w:color w:val="auto"/>
                <w:sz w:val="21"/>
                <w:szCs w:val="21"/>
                <w:lang w:val="en-US" w:eastAsia="zh-CN"/>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b/>
                <w:sz w:val="21"/>
                <w:szCs w:val="21"/>
              </w:rPr>
              <w:t>（职业健康安全危险源辨识是否充分、风险评价合理性，以及风险评价动态变更的及时性等）</w:t>
            </w:r>
            <w:r>
              <w:rPr>
                <w:rFonts w:hint="eastAsia" w:ascii="宋体" w:hAnsi="宋体" w:eastAsia="宋体" w:cs="Times New Roman"/>
                <w:b w:val="0"/>
                <w:bCs/>
                <w:color w:val="auto"/>
                <w:sz w:val="21"/>
                <w:szCs w:val="21"/>
                <w:lang w:val="en-US" w:eastAsia="zh-CN"/>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pacing w:line="240" w:lineRule="exac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通过是非法，共识别出不可接受风险5项，涉及：触电、意外伤害、职业病、火灾、机械伤害，评价符合程序要求及公司的实际情况。对危险源的控制措施包括制定管理制度、监督检查、应急预案、培训等。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ascii="宋体" w:hAnsi="宋体" w:eastAsia="宋体" w:cs="Times New Roman"/>
                <w:b w:val="0"/>
                <w:bCs/>
                <w:color w:val="auto"/>
                <w:sz w:val="21"/>
                <w:szCs w:val="21"/>
                <w:lang w:val="en-US" w:eastAsia="zh-CN"/>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eastAsia="宋体" w:cs="Times New Roman"/>
                <w:b w:val="0"/>
                <w:bCs/>
                <w:color w:val="auto"/>
                <w:kern w:val="2"/>
                <w:sz w:val="21"/>
                <w:szCs w:val="21"/>
                <w:lang w:val="en-US" w:eastAsia="zh-CN" w:bidi="ar-SA"/>
              </w:rPr>
              <w:t>进行发放纸质文件、电子文件的形式</w:t>
            </w:r>
          </w:p>
          <w:p>
            <w:pPr>
              <w:pStyle w:val="13"/>
              <w:numPr>
                <w:ilvl w:val="0"/>
                <w:numId w:val="2"/>
              </w:numPr>
              <w:tabs>
                <w:tab w:val="left" w:pos="540"/>
              </w:tabs>
              <w:spacing w:line="300" w:lineRule="exact"/>
              <w:ind w:firstLineChars="0"/>
              <w:rPr>
                <w:rFonts w:ascii="宋体" w:hAnsi="宋体"/>
                <w:b/>
                <w:sz w:val="21"/>
                <w:szCs w:val="21"/>
              </w:rPr>
            </w:pPr>
            <w:r>
              <w:rPr>
                <w:rFonts w:hint="eastAsia" w:ascii="宋体" w:hAnsi="宋体"/>
                <w:b/>
                <w:szCs w:val="21"/>
              </w:rPr>
              <w:t>法律法规要求及时更新了</w:t>
            </w:r>
            <w:r>
              <w:rPr>
                <w:rFonts w:hint="eastAsia" w:ascii="宋体" w:hAnsi="宋体"/>
                <w:b/>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8"/>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该公司员工共25人，管理人5人。有专业的防水卷材设备的生产人员、设计人员、技术人员。能满足防水卷材设备的生产要求。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00" w:lineRule="exact"/>
              <w:rPr>
                <w:rFonts w:hint="eastAsia" w:ascii="宋体" w:hAnsi="宋体" w:eastAsia="宋体" w:cs="Times New Roman"/>
                <w:b w:val="0"/>
                <w:bCs/>
                <w:color w:val="auto"/>
                <w:spacing w:val="0"/>
                <w:kern w:val="2"/>
                <w:sz w:val="21"/>
                <w:szCs w:val="21"/>
                <w:lang w:val="en-US" w:eastAsia="zh-CN" w:bidi="ar-SA"/>
              </w:rPr>
            </w:pPr>
            <w:r>
              <w:rPr>
                <w:rFonts w:hint="eastAsia" w:ascii="宋体" w:hAnsi="宋体" w:eastAsia="宋体" w:cs="Times New Roman"/>
                <w:b w:val="0"/>
                <w:bCs/>
                <w:color w:val="auto"/>
                <w:spacing w:val="0"/>
                <w:kern w:val="2"/>
                <w:sz w:val="21"/>
                <w:szCs w:val="21"/>
                <w:lang w:val="en-US" w:eastAsia="zh-CN" w:bidi="ar-SA"/>
              </w:rPr>
              <w:t>生产设备有锯床、等离子切割机、剪板机、折弯机、车床、铣床、龙门铣、电焊机、切割机、台钻、攻丝机、喷漆房、喷砂机、天车等，均可满足生产需要。</w:t>
            </w:r>
          </w:p>
          <w:p>
            <w:pPr>
              <w:spacing w:line="300" w:lineRule="exact"/>
              <w:rPr>
                <w:rFonts w:hint="eastAsia" w:ascii="宋体" w:hAnsi="宋体" w:eastAsia="宋体" w:cs="Times New Roman"/>
                <w:b w:val="0"/>
                <w:bCs/>
                <w:color w:val="auto"/>
                <w:spacing w:val="0"/>
                <w:kern w:val="2"/>
                <w:sz w:val="21"/>
                <w:szCs w:val="21"/>
                <w:lang w:val="en-US" w:eastAsia="zh-CN" w:bidi="ar-SA"/>
              </w:rPr>
            </w:pPr>
            <w:r>
              <w:rPr>
                <w:rFonts w:hint="eastAsia" w:ascii="宋体" w:hAnsi="宋体" w:eastAsia="宋体" w:cs="Times New Roman"/>
                <w:b w:val="0"/>
                <w:bCs/>
                <w:color w:val="auto"/>
                <w:spacing w:val="0"/>
                <w:kern w:val="2"/>
                <w:sz w:val="21"/>
                <w:szCs w:val="21"/>
                <w:lang w:val="en-US" w:eastAsia="zh-CN" w:bidi="ar-SA"/>
              </w:rPr>
              <w:t>办公设备：打印机、电脑、传真机、复印机等</w:t>
            </w:r>
          </w:p>
          <w:p>
            <w:pPr>
              <w:spacing w:line="300" w:lineRule="exact"/>
              <w:rPr>
                <w:rFonts w:hint="eastAsia" w:ascii="宋体" w:hAnsi="宋体" w:eastAsia="宋体" w:cs="Times New Roman"/>
                <w:b w:val="0"/>
                <w:bCs/>
                <w:color w:val="auto"/>
                <w:spacing w:val="0"/>
                <w:kern w:val="2"/>
                <w:sz w:val="21"/>
                <w:szCs w:val="21"/>
                <w:lang w:val="en-US" w:eastAsia="zh-CN" w:bidi="ar-SA"/>
              </w:rPr>
            </w:pPr>
            <w:r>
              <w:rPr>
                <w:rFonts w:hint="eastAsia" w:ascii="宋体" w:hAnsi="宋体" w:eastAsia="宋体" w:cs="Times New Roman"/>
                <w:b w:val="0"/>
                <w:bCs/>
                <w:color w:val="auto"/>
                <w:spacing w:val="0"/>
                <w:kern w:val="2"/>
                <w:sz w:val="21"/>
                <w:szCs w:val="21"/>
                <w:lang w:val="en-US" w:eastAsia="zh-CN" w:bidi="ar-SA"/>
              </w:rPr>
              <w:t>环保设备:废气处置设备、布袋除尘设施、垃圾桶、灭火器等</w:t>
            </w:r>
          </w:p>
          <w:p>
            <w:pPr>
              <w:spacing w:line="300" w:lineRule="exact"/>
              <w:rPr>
                <w:rFonts w:hint="eastAsia" w:ascii="宋体" w:hAnsi="宋体" w:eastAsia="宋体" w:cs="Times New Roman"/>
                <w:b w:val="0"/>
                <w:bCs/>
                <w:color w:val="auto"/>
                <w:spacing w:val="0"/>
                <w:kern w:val="2"/>
                <w:sz w:val="21"/>
                <w:szCs w:val="21"/>
                <w:lang w:val="en-US" w:eastAsia="zh-CN" w:bidi="ar-SA"/>
              </w:rPr>
            </w:pPr>
            <w:r>
              <w:rPr>
                <w:rFonts w:hint="eastAsia" w:ascii="宋体" w:hAnsi="宋体" w:eastAsia="宋体" w:cs="Times New Roman"/>
                <w:b w:val="0"/>
                <w:bCs/>
                <w:color w:val="auto"/>
                <w:spacing w:val="0"/>
                <w:kern w:val="2"/>
                <w:sz w:val="21"/>
                <w:szCs w:val="21"/>
                <w:lang w:val="en-US" w:eastAsia="zh-CN" w:bidi="ar-SA"/>
              </w:rPr>
              <w:t>消防设施：消防栓、灭火器等</w:t>
            </w:r>
          </w:p>
          <w:p>
            <w:pPr>
              <w:spacing w:line="30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特种设备：行车、叉车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现场观察办公区域环境卫生管理，工作场所布局合理，温湿度适宜，照明良好，满足办公需求。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hint="eastAsia" w:ascii="宋体" w:hAnsi="宋体"/>
                <w:b/>
                <w:sz w:val="21"/>
                <w:szCs w:val="21"/>
              </w:rPr>
            </w:pPr>
            <w:r>
              <w:rPr>
                <w:rFonts w:hint="eastAsia" w:ascii="宋体" w:hAnsi="宋体"/>
                <w:b/>
                <w:sz w:val="21"/>
                <w:szCs w:val="21"/>
              </w:rPr>
              <w:t>监视和测量资源</w:t>
            </w:r>
          </w:p>
          <w:p>
            <w:pPr>
              <w:rPr>
                <w:rFonts w:hint="default" w:ascii="宋体" w:hAnsi="宋体" w:eastAsia="宋体" w:cs="Times New Roman"/>
                <w:b w:val="0"/>
                <w:bCs/>
                <w:color w:val="auto"/>
                <w:spacing w:val="0"/>
                <w:kern w:val="2"/>
                <w:sz w:val="21"/>
                <w:szCs w:val="21"/>
                <w:lang w:val="en-US" w:eastAsia="zh-CN" w:bidi="ar-SA"/>
              </w:rPr>
            </w:pPr>
            <w:r>
              <w:rPr>
                <w:rFonts w:hint="eastAsia" w:ascii="宋体" w:hAnsi="宋体" w:eastAsia="宋体" w:cs="Times New Roman"/>
                <w:b w:val="0"/>
                <w:bCs/>
                <w:color w:val="auto"/>
                <w:spacing w:val="0"/>
                <w:kern w:val="2"/>
                <w:sz w:val="21"/>
                <w:szCs w:val="21"/>
                <w:lang w:val="en-US" w:eastAsia="zh-CN" w:bidi="ar-SA"/>
              </w:rPr>
              <w:t>监视资源有游标卡尺、外径千分尺，均提供有检验报告，报告在有效期内，见附件</w:t>
            </w:r>
          </w:p>
          <w:p>
            <w:pPr>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同时编制有防水卷材设备的生产检查记录，能不定期对服务进行检查。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eastAsia="宋体" w:cs="Times New Roman"/>
                <w:b w:val="0"/>
                <w:bCs/>
                <w:color w:val="auto"/>
                <w:spacing w:val="0"/>
                <w:kern w:val="2"/>
                <w:sz w:val="21"/>
                <w:szCs w:val="21"/>
                <w:lang w:val="en-US" w:eastAsia="zh-CN" w:bidi="ar-SA"/>
              </w:rPr>
              <w:t>废气处置设备、布袋除尘设施、垃圾桶、灭火器等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b/>
                <w:bCs/>
              </w:rPr>
              <w:t>职业健康安全设施</w:t>
            </w:r>
            <w:r>
              <w:rPr>
                <w:rFonts w:hint="eastAsia"/>
              </w:rPr>
              <w:t>：</w:t>
            </w:r>
          </w:p>
          <w:p>
            <w:pPr>
              <w:spacing w:line="240" w:lineRule="exact"/>
            </w:pPr>
            <w:r>
              <w:rPr>
                <w:rFonts w:hint="eastAsia" w:ascii="宋体" w:hAnsi="宋体" w:eastAsia="宋体" w:cs="Times New Roman"/>
                <w:b w:val="0"/>
                <w:bCs/>
                <w:color w:val="auto"/>
                <w:spacing w:val="0"/>
                <w:kern w:val="2"/>
                <w:sz w:val="21"/>
                <w:szCs w:val="21"/>
                <w:lang w:val="en-US" w:eastAsia="zh-CN" w:bidi="ar-SA"/>
              </w:rPr>
              <w:t>配备有灭火器、消防栓等设施。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3"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Cs w:val="21"/>
                <w:lang w:val="en-US" w:eastAsia="zh-CN"/>
              </w:rPr>
              <w:t>与上</w:t>
            </w:r>
            <w:r>
              <w:rPr>
                <w:rFonts w:hint="eastAsia" w:ascii="宋体" w:hAnsi="宋体"/>
                <w:szCs w:val="21"/>
              </w:rPr>
              <w:t>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提供《特殊过程确认记录表》，确认内容包括：焊接过程、喷涂过程的生产方法和程序、设备工具的认可、人员资格的鉴定、记录要求等。评审结论：根据公司实际情况，防水卷材设备的焊接过程、喷涂过程过程按照公司质量控制管理制度进行，过程所用基础设施均处在完好状态，从业人员经过培训，胜任本职工作，可以提供满足顾客要求、法律法规要求的服务。</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8"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rPr>
                <w:rFonts w:hint="eastAsia" w:ascii="宋体" w:hAnsi="宋体" w:eastAsia="宋体" w:cs="Times New Roman"/>
                <w:b w:val="0"/>
                <w:bCs/>
                <w:color w:val="auto"/>
                <w:spacing w:val="0"/>
                <w:kern w:val="2"/>
                <w:sz w:val="21"/>
                <w:szCs w:val="21"/>
                <w:lang w:val="en-US" w:eastAsia="zh-CN" w:bidi="ar-SA"/>
              </w:rPr>
            </w:pPr>
          </w:p>
          <w:p>
            <w:pPr>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按照顾客和合同要求进行服务，能够稳定的向顾客提供合格的生产管理产品及服务。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cs="Times New Roman"/>
                <w:b w:val="0"/>
                <w:bCs/>
                <w:color w:val="auto"/>
                <w:spacing w:val="0"/>
                <w:kern w:val="2"/>
                <w:sz w:val="21"/>
                <w:szCs w:val="21"/>
                <w:lang w:val="en-US" w:eastAsia="zh-CN" w:bidi="ar-SA"/>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对重要环境因素（火灾、废气、噪声、固废排放）进行了识别和控制。目前公司重大环境因素对周边环境影响不大，可得到有效控制。对相关方进行了必要告知。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4"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numId w:val="0"/>
              </w:numPr>
              <w:spacing w:line="240" w:lineRule="exact"/>
              <w:rPr>
                <w:rFonts w:hint="eastAsia" w:ascii="宋体" w:hAnsi="宋体" w:eastAsia="宋体"/>
                <w:b/>
                <w:sz w:val="21"/>
                <w:szCs w:val="21"/>
                <w:lang w:eastAsia="zh-CN"/>
              </w:rPr>
            </w:pPr>
            <w:r>
              <w:rPr>
                <w:rFonts w:hint="eastAsia" w:ascii="宋体" w:hAnsi="宋体" w:eastAsia="宋体" w:cs="Times New Roman"/>
                <w:b w:val="0"/>
                <w:bCs/>
                <w:color w:val="auto"/>
                <w:spacing w:val="0"/>
                <w:kern w:val="2"/>
                <w:sz w:val="21"/>
                <w:szCs w:val="21"/>
                <w:lang w:val="en-US" w:eastAsia="zh-CN" w:bidi="ar-SA"/>
              </w:rPr>
              <w:t>对不可接受风险（触电、意外伤害、职业病、火灾、机械伤害）进行了识别和控制。目前公司不可接受风险对公司及周边环境影响不大，可得到有效控制。对相关方进行了必要告知。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行车、叉车检验报告（见附件）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eastAsia="宋体" w:cs="Times New Roman"/>
                <w:b/>
                <w:sz w:val="21"/>
                <w:szCs w:val="21"/>
              </w:rPr>
            </w:pPr>
            <w:r>
              <w:rPr>
                <w:rFonts w:ascii="宋体" w:hAnsi="宋体" w:eastAsia="宋体" w:cs="Times New Roman"/>
                <w:b/>
                <w:sz w:val="21"/>
                <w:szCs w:val="21"/>
              </w:rPr>
              <w:t>11 .</w:t>
            </w:r>
            <w:r>
              <w:rPr>
                <w:rFonts w:hint="eastAsia" w:ascii="宋体" w:hAnsi="宋体" w:eastAsia="宋体" w:cs="Times New Roman"/>
                <w:b/>
                <w:sz w:val="21"/>
                <w:szCs w:val="21"/>
              </w:rPr>
              <w:t>对危险化学品销售、使用、储存、运输处置，规定的执行力度</w:t>
            </w:r>
            <w:r>
              <w:rPr>
                <w:rFonts w:ascii="宋体" w:hAnsi="宋体" w:eastAsia="宋体" w:cs="Times New Roman"/>
                <w:b/>
                <w:sz w:val="21"/>
                <w:szCs w:val="21"/>
              </w:rPr>
              <w:t>(</w:t>
            </w:r>
            <w:r>
              <w:rPr>
                <w:rFonts w:hint="eastAsia" w:ascii="宋体" w:hAnsi="宋体" w:eastAsia="宋体" w:cs="Times New Roman"/>
                <w:b/>
                <w:sz w:val="21"/>
                <w:szCs w:val="21"/>
              </w:rPr>
              <w:t>必要时</w:t>
            </w:r>
            <w:r>
              <w:rPr>
                <w:rFonts w:ascii="宋体" w:hAnsi="宋体" w:eastAsia="宋体" w:cs="Times New Roman"/>
                <w:b/>
                <w:sz w:val="21"/>
                <w:szCs w:val="21"/>
              </w:rPr>
              <w:t>);</w:t>
            </w:r>
          </w:p>
          <w:p>
            <w:pPr>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left="240" w:leftChars="100" w:firstLine="105" w:firstLineChars="50"/>
              <w:jc w:val="left"/>
              <w:rPr>
                <w:rFonts w:hint="eastAsia" w:ascii="宋体" w:hAnsi="宋体" w:eastAsia="宋体" w:cs="Times New Roman"/>
                <w:b w:val="0"/>
                <w:bCs/>
                <w:color w:val="auto"/>
                <w:spacing w:val="0"/>
                <w:kern w:val="2"/>
                <w:sz w:val="21"/>
                <w:szCs w:val="21"/>
                <w:lang w:val="en-US" w:eastAsia="zh-CN" w:bidi="ar-SA"/>
              </w:rPr>
            </w:pPr>
            <w:r>
              <w:rPr>
                <w:rFonts w:hint="eastAsia" w:ascii="宋体" w:hAnsi="宋体" w:eastAsia="宋体" w:cs="Times New Roman"/>
                <w:b w:val="0"/>
                <w:bCs/>
                <w:color w:val="auto"/>
                <w:spacing w:val="0"/>
                <w:kern w:val="2"/>
                <w:sz w:val="21"/>
                <w:szCs w:val="21"/>
                <w:lang w:val="en-US" w:eastAsia="zh-CN" w:bidi="ar-SA"/>
              </w:rPr>
              <w:t>对质量/环境/安全目标指标进行了考核，各部门基本可以完成质量/环境/安全目标要求。目标具备可测量性</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numId w:val="0"/>
              </w:num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numId w:val="0"/>
              </w:num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提供有环境监测报告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eastAsia="宋体" w:cs="Times New Roman"/>
                <w:b w:val="0"/>
                <w:bCs/>
                <w:color w:val="auto"/>
                <w:spacing w:val="0"/>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eastAsia="宋体" w:cs="Times New Roman"/>
                <w:b w:val="0"/>
                <w:bCs/>
                <w:color w:val="auto"/>
                <w:spacing w:val="0"/>
                <w:kern w:val="2"/>
                <w:sz w:val="21"/>
                <w:szCs w:val="21"/>
                <w:lang w:val="en-US" w:eastAsia="zh-CN" w:bidi="ar-SA"/>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20" w:leftChars="0" w:hanging="120" w:hangingChars="50"/>
              <w:rPr>
                <w:rFonts w:hint="eastAsia"/>
                <w:b/>
                <w:bCs/>
              </w:rPr>
            </w:pPr>
            <w:r>
              <w:rPr>
                <w:rFonts w:hint="eastAsia"/>
                <w:b/>
                <w:bCs/>
              </w:rPr>
              <w:t>上次不符合的整改情况</w:t>
            </w:r>
          </w:p>
          <w:p>
            <w:pPr>
              <w:rPr>
                <w:rFonts w:hint="eastAsia" w:eastAsia="宋体"/>
                <w:lang w:val="en-US" w:eastAsia="zh-CN"/>
              </w:rPr>
            </w:pPr>
            <w:r>
              <w:rPr>
                <w:rFonts w:hint="eastAsia" w:ascii="宋体" w:hAnsi="宋体" w:eastAsia="宋体" w:cs="Times New Roman"/>
                <w:b w:val="0"/>
                <w:bCs/>
                <w:color w:val="auto"/>
                <w:spacing w:val="0"/>
                <w:kern w:val="2"/>
                <w:sz w:val="21"/>
                <w:szCs w:val="21"/>
                <w:lang w:val="en-US" w:eastAsia="zh-CN" w:bidi="ar-SA"/>
              </w:rPr>
              <w:t>已完成</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办公室</w:t>
      </w:r>
      <w:r>
        <w:rPr>
          <w:rFonts w:hint="eastAsia" w:ascii="宋体" w:hAnsi="宋体"/>
          <w:b/>
          <w:szCs w:val="21"/>
        </w:rPr>
        <w:t>部门</w:t>
      </w:r>
      <w:r>
        <w:rPr>
          <w:rFonts w:hint="eastAsia" w:ascii="宋体" w:hAnsi="宋体"/>
          <w:b/>
          <w:szCs w:val="21"/>
          <w:lang w:val="en-US" w:eastAsia="zh-CN"/>
        </w:rPr>
        <w:t>QMO7.3</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eastAsia="宋体"/>
                <w:color w:val="auto"/>
                <w:kern w:val="2"/>
                <w:sz w:val="21"/>
                <w:szCs w:val="21"/>
                <w:lang w:val="en-US" w:eastAsia="zh-CN"/>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lang w:val="en-US" w:eastAsia="zh-CN"/>
              </w:rPr>
              <w:t>该公司</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2336" behindDoc="0" locked="0" layoutInCell="1" allowOverlap="1">
            <wp:simplePos x="0" y="0"/>
            <wp:positionH relativeFrom="column">
              <wp:posOffset>1878965</wp:posOffset>
            </wp:positionH>
            <wp:positionV relativeFrom="paragraph">
              <wp:posOffset>14605</wp:posOffset>
            </wp:positionV>
            <wp:extent cx="861695" cy="457835"/>
            <wp:effectExtent l="0" t="0" r="6985" b="1460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861695" cy="45783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rFonts w:hint="eastAsia" w:eastAsia="宋体"/>
          <w:b/>
          <w:sz w:val="21"/>
          <w:lang w:eastAsia="zh-CN"/>
        </w:rPr>
      </w:pPr>
      <w:r>
        <w:rPr>
          <w:rFonts w:hint="eastAsia" w:eastAsia="宋体"/>
          <w:b/>
          <w:sz w:val="21"/>
          <w:lang w:eastAsia="zh-CN"/>
        </w:rPr>
        <w:drawing>
          <wp:anchor distT="0" distB="0" distL="114300" distR="114300" simplePos="0" relativeHeight="251663360" behindDoc="0" locked="0" layoutInCell="1" allowOverlap="1">
            <wp:simplePos x="0" y="0"/>
            <wp:positionH relativeFrom="column">
              <wp:posOffset>1699260</wp:posOffset>
            </wp:positionH>
            <wp:positionV relativeFrom="paragraph">
              <wp:posOffset>84455</wp:posOffset>
            </wp:positionV>
            <wp:extent cx="866775" cy="360045"/>
            <wp:effectExtent l="0" t="0" r="1905" b="5715"/>
            <wp:wrapNone/>
            <wp:docPr id="2" name="图片 2" descr="IMG_20210331_23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10331_231951"/>
                    <pic:cNvPicPr>
                      <a:picLocks noChangeAspect="1"/>
                    </pic:cNvPicPr>
                  </pic:nvPicPr>
                  <pic:blipFill>
                    <a:blip r:embed="rId7"/>
                    <a:stretch>
                      <a:fillRect/>
                    </a:stretch>
                  </pic:blipFill>
                  <pic:spPr>
                    <a:xfrm>
                      <a:off x="0" y="0"/>
                      <a:ext cx="866775" cy="36004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2021.3.24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A3"/>
      </w:r>
      <w:r>
        <w:rPr>
          <w:rFonts w:hint="eastAsia"/>
          <w:b/>
          <w:bCs/>
          <w:sz w:val="21"/>
          <w:szCs w:val="21"/>
        </w:rPr>
        <w:t>50430 ()个一般不符合，()个严重不符合，□验证合格□仍有问题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审核中发现的</w:t>
      </w:r>
      <w:r>
        <w:rPr>
          <w:rFonts w:hint="eastAsia"/>
          <w:b/>
          <w:sz w:val="21"/>
          <w:szCs w:val="21"/>
        </w:rPr>
        <w:sym w:font="Wingdings 2" w:char="0052"/>
      </w:r>
      <w:r>
        <w:rPr>
          <w:b/>
          <w:sz w:val="21"/>
          <w:szCs w:val="21"/>
        </w:rPr>
        <w:t>OHSMS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bookmarkStart w:id="28" w:name="_GoBack"/>
      <w:r>
        <w:rPr>
          <w:rFonts w:hint="eastAsia" w:eastAsia="宋体"/>
          <w:b/>
          <w:sz w:val="21"/>
          <w:lang w:eastAsia="zh-CN"/>
        </w:rPr>
        <w:drawing>
          <wp:anchor distT="0" distB="0" distL="114300" distR="114300" simplePos="0" relativeHeight="251664384" behindDoc="0" locked="0" layoutInCell="1" allowOverlap="1">
            <wp:simplePos x="0" y="0"/>
            <wp:positionH relativeFrom="column">
              <wp:posOffset>1078865</wp:posOffset>
            </wp:positionH>
            <wp:positionV relativeFrom="paragraph">
              <wp:posOffset>85090</wp:posOffset>
            </wp:positionV>
            <wp:extent cx="603250" cy="320675"/>
            <wp:effectExtent l="0" t="0" r="6350" b="14605"/>
            <wp:wrapNone/>
            <wp:docPr id="3" name="图片 3"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蒙生"/>
                    <pic:cNvPicPr>
                      <a:picLocks noChangeAspect="1"/>
                    </pic:cNvPicPr>
                  </pic:nvPicPr>
                  <pic:blipFill>
                    <a:blip r:embed="rId6"/>
                    <a:stretch>
                      <a:fillRect/>
                    </a:stretch>
                  </pic:blipFill>
                  <pic:spPr>
                    <a:xfrm>
                      <a:off x="0" y="0"/>
                      <a:ext cx="603250" cy="320675"/>
                    </a:xfrm>
                    <a:prstGeom prst="rect">
                      <a:avLst/>
                    </a:prstGeom>
                  </pic:spPr>
                </pic:pic>
              </a:graphicData>
            </a:graphic>
          </wp:anchor>
        </w:drawing>
      </w:r>
      <w:bookmarkEnd w:id="28"/>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BD382"/>
    <w:multiLevelType w:val="singleLevel"/>
    <w:tmpl w:val="D3DBD382"/>
    <w:lvl w:ilvl="0" w:tentative="0">
      <w:start w:val="5"/>
      <w:numFmt w:val="decimal"/>
      <w:suff w:val="space"/>
      <w:lvlText w:val="%1."/>
      <w:lvlJc w:val="left"/>
    </w:lvl>
  </w:abstractNum>
  <w:abstractNum w:abstractNumId="1">
    <w:nsid w:val="FD9F360A"/>
    <w:multiLevelType w:val="singleLevel"/>
    <w:tmpl w:val="FD9F360A"/>
    <w:lvl w:ilvl="0" w:tentative="0">
      <w:start w:val="2"/>
      <w:numFmt w:val="decimal"/>
      <w:lvlText w:val="%1."/>
      <w:lvlJc w:val="left"/>
      <w:pPr>
        <w:tabs>
          <w:tab w:val="left" w:pos="312"/>
        </w:tabs>
      </w:pPr>
    </w:lvl>
  </w:abstractNum>
  <w:abstractNum w:abstractNumId="2">
    <w:nsid w:val="2F3A40A0"/>
    <w:multiLevelType w:val="singleLevel"/>
    <w:tmpl w:val="2F3A40A0"/>
    <w:lvl w:ilvl="0" w:tentative="0">
      <w:start w:val="8"/>
      <w:numFmt w:val="decimal"/>
      <w:suff w:val="space"/>
      <w:lvlText w:val="%1."/>
      <w:lvlJc w:val="left"/>
    </w:lvl>
  </w:abstractNum>
  <w:abstractNum w:abstractNumId="3">
    <w:nsid w:val="4DECC791"/>
    <w:multiLevelType w:val="singleLevel"/>
    <w:tmpl w:val="4DECC791"/>
    <w:lvl w:ilvl="0" w:tentative="0">
      <w:start w:val="2"/>
      <w:numFmt w:val="decimal"/>
      <w:suff w:val="nothing"/>
      <w:lvlText w:val="%1、"/>
      <w:lvlJc w:val="left"/>
      <w:pPr>
        <w:ind w:left="240"/>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E96AE0"/>
    <w:rsid w:val="3E035A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2"/>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character" w:customStyle="1" w:styleId="16">
    <w:name w:val="info-content-text"/>
    <w:basedOn w:val="7"/>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37107</cp:lastModifiedBy>
  <cp:lastPrinted>2019-04-18T08:15:00Z</cp:lastPrinted>
  <dcterms:modified xsi:type="dcterms:W3CDTF">2021-03-31T15:29:33Z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0_btnclosed</vt:lpwstr>
  </property>
  <property fmtid="{D5CDD505-2E9C-101B-9397-08002B2CF9AE}" pid="4" name="ICV">
    <vt:lpwstr>27E76BB4E0034375B9706E89359FE16C</vt:lpwstr>
  </property>
</Properties>
</file>