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成都蒲然科技有限公司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2019-N1QMS-1242345</w:t>
            </w:r>
          </w:p>
        </w:tc>
        <w:tc>
          <w:tcPr>
            <w:tcW w:w="1728" w:type="dxa"/>
            <w:gridSpan w:val="2"/>
            <w:vAlign w:val="center"/>
          </w:tcPr>
          <w:p>
            <w:pPr>
              <w:jc w:val="center"/>
              <w:rPr>
                <w:b/>
                <w:sz w:val="21"/>
                <w:szCs w:val="21"/>
              </w:rPr>
            </w:pPr>
            <w:r>
              <w:rPr>
                <w:b/>
                <w:sz w:val="21"/>
                <w:szCs w:val="21"/>
              </w:rPr>
              <w:t>19.09.02</w:t>
            </w:r>
          </w:p>
        </w:tc>
        <w:tc>
          <w:tcPr>
            <w:tcW w:w="1729" w:type="dxa"/>
            <w:gridSpan w:val="2"/>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8.3条款</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auto"/>
                <w:sz w:val="21"/>
                <w:highlight w:val="none"/>
              </w:rPr>
            </w:pPr>
            <w:bookmarkStart w:id="11" w:name="组织名称Add"/>
            <w:r>
              <w:rPr>
                <w:rFonts w:ascii="宋体"/>
                <w:b/>
                <w:color w:val="auto"/>
                <w:sz w:val="21"/>
                <w:highlight w:val="none"/>
              </w:rPr>
              <w:t>成都蒲然科技有限公司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color w:val="auto"/>
                <w:sz w:val="21"/>
                <w:highlight w:val="none"/>
              </w:rPr>
            </w:pPr>
            <w:bookmarkStart w:id="12" w:name="注册地址"/>
            <w:r>
              <w:rPr>
                <w:rFonts w:ascii="宋体"/>
                <w:b/>
                <w:color w:val="auto"/>
                <w:sz w:val="21"/>
                <w:highlight w:val="none"/>
              </w:rPr>
              <w:t>郫县成都现代工业港北片区港北五路279号</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610000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郫县成都现代工业港北片区港北五路279号</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610000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郫县成都现代工业港北片区港北五路279号</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610000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邵猷</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13678160055</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r>
              <w:rPr>
                <w:rFonts w:ascii="宋体"/>
                <w:b/>
                <w:sz w:val="21"/>
              </w:rPr>
              <w:t>028-68926383</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贺圣</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周晶</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2021年01月26日 上午至2021年01月26日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rPr>
              <w:sym w:font="Wingdings 2" w:char="0052"/>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审核范围"/>
            <w:r>
              <w:rPr>
                <w:rFonts w:hint="eastAsia" w:ascii="宋体" w:hAnsi="宋体"/>
                <w:b/>
                <w:sz w:val="21"/>
                <w:szCs w:val="21"/>
              </w:rPr>
              <w:t>主变保护装置的制造</w:t>
            </w:r>
            <w:bookmarkEnd w:id="25"/>
          </w:p>
          <w:p>
            <w:pPr>
              <w:spacing w:line="360" w:lineRule="exact"/>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8" w:name="专业代码"/>
            <w:r>
              <w:rPr>
                <w:rFonts w:ascii="宋体" w:hAnsi="宋体"/>
                <w:b/>
                <w:sz w:val="21"/>
                <w:szCs w:val="21"/>
              </w:rPr>
              <w:t>19.09.02</w:t>
            </w:r>
            <w:bookmarkEnd w:id="28"/>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r>
              <w:rPr>
                <w:rFonts w:ascii="宋体" w:hAnsi="宋体"/>
                <w:b/>
                <w:sz w:val="21"/>
                <w:szCs w:val="21"/>
              </w:rPr>
              <w:t>2023-02-10</w:t>
            </w:r>
          </w:p>
        </w:tc>
        <w:tc>
          <w:tcPr>
            <w:tcW w:w="1672" w:type="dxa"/>
            <w:vAlign w:val="center"/>
          </w:tcPr>
          <w:p>
            <w:pPr>
              <w:spacing w:line="260" w:lineRule="exact"/>
              <w:rPr>
                <w:rFonts w:ascii="宋体" w:hAnsi="宋体"/>
                <w:b/>
                <w:sz w:val="21"/>
                <w:szCs w:val="21"/>
              </w:rPr>
            </w:pPr>
            <w:r>
              <w:rPr>
                <w:rFonts w:hint="eastAsia" w:ascii="宋体" w:hAnsi="宋体"/>
                <w:b/>
                <w:sz w:val="21"/>
                <w:szCs w:val="21"/>
              </w:rPr>
              <w:t>上年度</w:t>
            </w:r>
          </w:p>
          <w:p>
            <w:pPr>
              <w:spacing w:line="260" w:lineRule="exact"/>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hAnsi="宋体"/>
                <w:b/>
                <w:sz w:val="21"/>
                <w:szCs w:val="21"/>
              </w:rPr>
            </w:pPr>
            <w:r>
              <w:rPr>
                <w:rFonts w:ascii="宋体" w:hAnsi="宋体"/>
                <w:b/>
                <w:sz w:val="21"/>
                <w:szCs w:val="21"/>
              </w:rPr>
              <w:t>2020-01-03</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2020年01月03日至2021年01月26日。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pPr w:leftFromText="180" w:rightFromText="180" w:vertAnchor="text" w:horzAnchor="page" w:tblpX="894" w:tblpY="939"/>
        <w:tblOverlap w:val="never"/>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8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val="en-US"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8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1"/>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0"/>
              </w:numPr>
              <w:spacing w:line="280" w:lineRule="exact"/>
              <w:ind w:firstLine="240" w:firstLineChars="100"/>
              <w:rPr>
                <w:rFonts w:hint="eastAsia" w:eastAsia="宋体"/>
                <w:b/>
                <w:color w:val="000000" w:themeColor="text1"/>
                <w:lang w:val="en-US" w:eastAsia="zh-CN"/>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质量第一、降本增效、精益求精、持续改进</w:t>
            </w:r>
            <w:r>
              <w:rPr>
                <w:rFonts w:hint="eastAsia" w:ascii="宋体" w:hAnsi="宋体"/>
                <w:color w:val="000000" w:themeColor="text1"/>
                <w:lang w:eastAsia="zh-CN"/>
              </w:rPr>
              <w:t xml:space="preserve"> </w:t>
            </w:r>
            <w:r>
              <w:rPr>
                <w:rFonts w:hint="eastAsia" w:ascii="宋体" w:hAnsi="宋体"/>
                <w:color w:val="000000" w:themeColor="text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4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ascii="宋体" w:hAnsi="宋体"/>
                <w:szCs w:val="21"/>
              </w:rPr>
            </w:pPr>
            <w:r>
              <w:rPr>
                <w:rFonts w:hint="eastAsia" w:ascii="宋体" w:hAnsi="宋体"/>
                <w:b/>
                <w:color w:val="000000" w:themeColor="text1"/>
                <w:sz w:val="20"/>
                <w:szCs w:val="20"/>
              </w:rPr>
              <w:t>质量管理体系过程有：</w:t>
            </w:r>
            <w:r>
              <w:rPr>
                <w:rFonts w:hint="eastAsia" w:ascii="宋体" w:hAnsi="宋体"/>
                <w:szCs w:val="21"/>
              </w:rPr>
              <w:t xml:space="preserve">主变保护装置的制造 </w:t>
            </w:r>
          </w:p>
          <w:p>
            <w:pPr>
              <w:tabs>
                <w:tab w:val="left" w:pos="540"/>
              </w:tabs>
              <w:spacing w:line="300" w:lineRule="exact"/>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hint="default" w:ascii="宋体" w:eastAsia="宋体"/>
                <w:sz w:val="24"/>
                <w:szCs w:val="22"/>
                <w:highlight w:val="none"/>
                <w:lang w:val="en-US" w:eastAsia="zh-CN"/>
              </w:rPr>
            </w:pPr>
            <w:r>
              <w:rPr>
                <w:rFonts w:hint="eastAsia" w:ascii="宋体" w:hAnsi="宋体"/>
                <w:b/>
                <w:color w:val="000000" w:themeColor="text1"/>
                <w:sz w:val="20"/>
                <w:szCs w:val="20"/>
                <w:highlight w:val="none"/>
              </w:rPr>
              <w:t>需要确认过程：</w:t>
            </w:r>
            <w:r>
              <w:rPr>
                <w:rFonts w:hint="eastAsia" w:ascii="宋体"/>
                <w:sz w:val="24"/>
                <w:szCs w:val="22"/>
                <w:highlight w:val="none"/>
              </w:rPr>
              <w:t xml:space="preserve"> </w:t>
            </w:r>
            <w:r>
              <w:rPr>
                <w:rFonts w:hint="eastAsia" w:ascii="宋体" w:hAnsi="宋体" w:cs="宋体"/>
                <w:color w:val="auto"/>
                <w:szCs w:val="24"/>
                <w:lang w:val="en-US" w:eastAsia="zh-CN"/>
              </w:rPr>
              <w:t xml:space="preserve"> 芯片焊接过程</w:t>
            </w:r>
            <w:bookmarkStart w:id="29" w:name="_GoBack"/>
            <w:bookmarkEnd w:id="29"/>
          </w:p>
          <w:p>
            <w:pPr>
              <w:tabs>
                <w:tab w:val="left" w:pos="540"/>
              </w:tabs>
              <w:spacing w:line="300" w:lineRule="exact"/>
              <w:ind w:left="201" w:hanging="201" w:hangingChars="100"/>
              <w:rPr>
                <w:rFonts w:ascii="宋体" w:hAnsi="宋体"/>
                <w:b/>
                <w:color w:val="000000" w:themeColor="text1"/>
                <w:szCs w:val="21"/>
              </w:rPr>
            </w:pPr>
            <w:r>
              <w:rPr>
                <w:rFonts w:ascii="宋体" w:hAnsi="宋体"/>
                <w:b/>
                <w:color w:val="000000" w:themeColor="text1"/>
                <w:sz w:val="20"/>
                <w:szCs w:val="20"/>
                <w:highlight w:val="none"/>
              </w:rPr>
              <w:pict>
                <v:shape id="_x0000_s2051" o:spid="_x0000_s2051" o:spt="32" type="#_x0000_t32" style="position:absolute;left:0pt;margin-left:55.15pt;margin-top:12.75pt;height:0pt;width:42pt;z-index:25167564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highlight w:val="none"/>
              </w:rPr>
              <w:t xml:space="preserve">不适用条款是 </w:t>
            </w:r>
            <w:r>
              <w:rPr>
                <w:rFonts w:hint="eastAsia" w:ascii="宋体" w:hAnsi="宋体" w:cs="宋体"/>
                <w:sz w:val="21"/>
                <w:szCs w:val="21"/>
                <w:highlight w:val="none"/>
              </w:rPr>
              <w:t>8</w:t>
            </w:r>
            <w:r>
              <w:rPr>
                <w:rFonts w:hint="eastAsia" w:ascii="宋体" w:hAnsi="宋体"/>
                <w:b/>
                <w:color w:val="000000" w:themeColor="text1"/>
                <w:sz w:val="20"/>
                <w:szCs w:val="20"/>
                <w:highlight w:val="none"/>
              </w:rPr>
              <w:t>.3    ，不适用理由：</w:t>
            </w:r>
            <w:r>
              <w:rPr>
                <w:rFonts w:hint="eastAsia" w:ascii="宋体" w:hAnsi="宋体" w:cs="Times New Roman"/>
                <w:color w:val="000000"/>
                <w:szCs w:val="21"/>
                <w:lang w:val="en-US" w:eastAsia="zh-CN"/>
              </w:rPr>
              <w:t>公司工业自动控制系</w:t>
            </w:r>
            <w:r>
              <w:rPr>
                <w:rFonts w:hint="eastAsia" w:ascii="宋体" w:hAnsi="宋体" w:cs="Times New Roman"/>
                <w:color w:val="000000"/>
                <w:szCs w:val="21"/>
                <w:highlight w:val="none"/>
                <w:lang w:val="en-US" w:eastAsia="zh-CN"/>
              </w:rPr>
              <w:t>统装置的生产依据成熟工艺,模式固定，因此标准8.3条款“产品和服务的设计和开发”要求不适用</w:t>
            </w:r>
            <w:r>
              <w:rPr>
                <w:rFonts w:hint="eastAsia" w:ascii="宋体" w:hAnsi="宋体"/>
                <w:szCs w:val="21"/>
                <w:lang w:val="en-US" w:eastAsia="zh-CN"/>
              </w:rPr>
              <w:t xml:space="preserve">,不适用理由合理。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trPr>
        <w:tc>
          <w:tcPr>
            <w:tcW w:w="720" w:type="dxa"/>
            <w:vMerge w:val="continue"/>
            <w:vAlign w:val="center"/>
          </w:tcPr>
          <w:p>
            <w:pPr>
              <w:spacing w:line="240" w:lineRule="exact"/>
              <w:jc w:val="center"/>
              <w:rPr>
                <w:b/>
                <w:color w:val="000000" w:themeColor="text1"/>
                <w:sz w:val="20"/>
              </w:rPr>
            </w:pPr>
          </w:p>
        </w:tc>
        <w:tc>
          <w:tcPr>
            <w:tcW w:w="9198" w:type="dxa"/>
          </w:tcPr>
          <w:p>
            <w:pPr>
              <w:tabs>
                <w:tab w:val="left" w:pos="540"/>
              </w:tabs>
              <w:spacing w:line="30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numPr>
                <w:ilvl w:val="0"/>
                <w:numId w:val="2"/>
              </w:numPr>
              <w:tabs>
                <w:tab w:val="left" w:pos="540"/>
              </w:tabs>
              <w:spacing w:line="300" w:lineRule="exact"/>
              <w:rPr>
                <w:rFonts w:hint="eastAsia"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3"/>
              <w:numPr>
                <w:ilvl w:val="0"/>
                <w:numId w:val="0"/>
              </w:numPr>
              <w:tabs>
                <w:tab w:val="left" w:pos="540"/>
              </w:tabs>
              <w:spacing w:line="300" w:lineRule="exact"/>
              <w:ind w:leftChars="0"/>
              <w:rPr>
                <w:rFonts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2</w:t>
            </w:r>
            <w:r>
              <w:rPr>
                <w:rFonts w:hint="eastAsia" w:ascii="宋体" w:hAnsi="宋体"/>
                <w:b/>
                <w:color w:val="000000" w:themeColor="text1"/>
                <w:szCs w:val="21"/>
                <w:lang w:eastAsia="zh-CN"/>
              </w:rPr>
              <w:t>）</w:t>
            </w: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3"/>
              <w:numPr>
                <w:ilvl w:val="0"/>
                <w:numId w:val="0"/>
              </w:numPr>
              <w:tabs>
                <w:tab w:val="left" w:pos="540"/>
              </w:tabs>
              <w:spacing w:line="300" w:lineRule="exact"/>
              <w:ind w:leftChars="0"/>
              <w:rPr>
                <w:rFonts w:hint="eastAsia"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3</w:t>
            </w:r>
            <w:r>
              <w:rPr>
                <w:rFonts w:hint="eastAsia" w:ascii="宋体" w:hAnsi="宋体"/>
                <w:b/>
                <w:color w:val="000000" w:themeColor="text1"/>
                <w:szCs w:val="21"/>
                <w:lang w:eastAsia="zh-CN"/>
              </w:rPr>
              <w:t>）</w:t>
            </w:r>
            <w:r>
              <w:rPr>
                <w:rFonts w:hint="eastAsia" w:ascii="宋体" w:hAnsi="宋体"/>
                <w:b/>
                <w:color w:val="000000" w:themeColor="text1"/>
                <w:szCs w:val="21"/>
              </w:rPr>
              <w:t>法律法规的宣传方式：培训、会议、张贴。</w:t>
            </w:r>
          </w:p>
          <w:p>
            <w:pPr>
              <w:pStyle w:val="13"/>
              <w:numPr>
                <w:ilvl w:val="0"/>
                <w:numId w:val="0"/>
              </w:numPr>
              <w:tabs>
                <w:tab w:val="left" w:pos="540"/>
              </w:tabs>
              <w:spacing w:line="300" w:lineRule="exact"/>
              <w:ind w:leftChars="0"/>
              <w:rPr>
                <w:rFonts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4</w:t>
            </w:r>
            <w:r>
              <w:rPr>
                <w:rFonts w:hint="eastAsia" w:ascii="宋体" w:hAnsi="宋体"/>
                <w:b/>
                <w:color w:val="000000" w:themeColor="text1"/>
                <w:szCs w:val="21"/>
                <w:lang w:eastAsia="zh-CN"/>
              </w:rPr>
              <w:t>）</w:t>
            </w: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80" w:firstLineChars="200"/>
              <w:rPr>
                <w:rFonts w:hint="eastAsia" w:ascii="宋体" w:hAnsi="宋体" w:cs="宋体"/>
                <w:color w:val="000000"/>
                <w:kern w:val="0"/>
                <w:szCs w:val="21"/>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80" w:firstLineChars="200"/>
              <w:rPr>
                <w:rFonts w:hint="eastAsia" w:ascii="宋体" w:hAnsi="宋体" w:cs="宋体"/>
                <w:color w:val="000000"/>
                <w:kern w:val="0"/>
                <w:szCs w:val="21"/>
                <w:lang w:val="en-US" w:eastAsia="zh-CN"/>
              </w:rPr>
            </w:pPr>
            <w:r>
              <w:rPr>
                <w:rFonts w:hint="eastAsia" w:ascii="宋体" w:hAnsi="宋体" w:cs="宋体"/>
                <w:color w:val="000000"/>
                <w:kern w:val="0"/>
                <w:szCs w:val="21"/>
              </w:rPr>
              <w:t>质量目标</w:t>
            </w:r>
            <w:r>
              <w:rPr>
                <w:rFonts w:hint="eastAsia" w:ascii="宋体" w:hAnsi="宋体" w:cs="宋体"/>
                <w:color w:val="000000"/>
                <w:kern w:val="0"/>
                <w:szCs w:val="21"/>
                <w:lang w:val="en-US" w:eastAsia="zh-CN"/>
              </w:rPr>
              <w:t>：</w:t>
            </w:r>
          </w:p>
          <w:p>
            <w:pPr>
              <w:rPr>
                <w:rFonts w:hint="eastAsia" w:ascii="宋体" w:hAnsi="宋体"/>
                <w:sz w:val="21"/>
                <w:szCs w:val="21"/>
                <w:lang w:val="en-US" w:eastAsia="zh-CN"/>
              </w:rPr>
            </w:pPr>
            <w:r>
              <w:rPr>
                <w:rFonts w:hint="eastAsia" w:ascii="宋体" w:hAnsi="宋体"/>
                <w:sz w:val="21"/>
                <w:szCs w:val="21"/>
                <w:lang w:val="en-US" w:eastAsia="zh-CN"/>
              </w:rPr>
              <w:t>1. 产品一次合格率达95%以上；</w:t>
            </w:r>
          </w:p>
          <w:p>
            <w:pPr>
              <w:rPr>
                <w:rFonts w:hint="eastAsia" w:ascii="宋体" w:hAnsi="宋体"/>
                <w:sz w:val="21"/>
                <w:szCs w:val="21"/>
                <w:lang w:val="en-US" w:eastAsia="zh-CN"/>
              </w:rPr>
            </w:pPr>
            <w:r>
              <w:rPr>
                <w:rFonts w:hint="eastAsia" w:ascii="宋体" w:hAnsi="宋体"/>
                <w:sz w:val="21"/>
                <w:szCs w:val="21"/>
                <w:lang w:val="en-US" w:eastAsia="zh-CN"/>
              </w:rPr>
              <w:t xml:space="preserve">2. </w:t>
            </w:r>
            <w:r>
              <w:rPr>
                <w:rFonts w:hint="eastAsia" w:ascii="宋体" w:hAnsi="宋体"/>
                <w:sz w:val="21"/>
                <w:szCs w:val="21"/>
              </w:rPr>
              <w:t>产品出厂合格率</w:t>
            </w:r>
            <w:r>
              <w:rPr>
                <w:rFonts w:hint="eastAsia" w:ascii="宋体" w:hAnsi="宋体"/>
                <w:sz w:val="21"/>
                <w:szCs w:val="21"/>
                <w:lang w:val="en-US" w:eastAsia="zh-CN"/>
              </w:rPr>
              <w:t>达到</w:t>
            </w:r>
            <w:r>
              <w:rPr>
                <w:rFonts w:hint="eastAsia" w:ascii="宋体" w:hAnsi="宋体"/>
                <w:sz w:val="21"/>
                <w:szCs w:val="21"/>
              </w:rPr>
              <w:t>100%</w:t>
            </w:r>
            <w:r>
              <w:rPr>
                <w:rFonts w:hint="eastAsia" w:ascii="宋体" w:hAnsi="宋体"/>
                <w:sz w:val="21"/>
                <w:szCs w:val="21"/>
                <w:lang w:val="en-US" w:eastAsia="zh-CN"/>
              </w:rPr>
              <w:t>；</w:t>
            </w:r>
          </w:p>
          <w:p>
            <w:pPr>
              <w:spacing w:line="360" w:lineRule="auto"/>
              <w:jc w:val="left"/>
              <w:rPr>
                <w:rFonts w:ascii="宋体" w:hAnsi="宋体"/>
                <w:b/>
                <w:color w:val="000000" w:themeColor="text1"/>
              </w:rPr>
            </w:pPr>
            <w:r>
              <w:rPr>
                <w:rFonts w:hint="eastAsia" w:ascii="宋体" w:hAnsi="宋体"/>
                <w:sz w:val="21"/>
                <w:szCs w:val="21"/>
                <w:lang w:val="en-US" w:eastAsia="zh-CN"/>
              </w:rPr>
              <w:t>3. 顾客满意率达95%以上。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8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19</w:t>
            </w:r>
            <w:r>
              <w:rPr>
                <w:rFonts w:hint="eastAsia" w:ascii="宋体" w:hAnsi="宋体" w:cs="宋体"/>
                <w:color w:val="000000" w:themeColor="text1"/>
              </w:rPr>
              <w:t>年</w:t>
            </w:r>
            <w:r>
              <w:rPr>
                <w:rFonts w:hint="eastAsia" w:ascii="宋体" w:hAnsi="宋体" w:cs="宋体"/>
                <w:color w:val="000000" w:themeColor="text1"/>
                <w:lang w:val="en-US" w:eastAsia="zh-CN"/>
              </w:rPr>
              <w:t>6</w:t>
            </w:r>
            <w:r>
              <w:rPr>
                <w:rFonts w:hint="eastAsia" w:ascii="宋体" w:hAnsi="宋体" w:cs="宋体"/>
                <w:color w:val="000000" w:themeColor="text1"/>
              </w:rPr>
              <w:t>月</w:t>
            </w:r>
            <w:r>
              <w:rPr>
                <w:rFonts w:hint="eastAsia" w:ascii="宋体" w:hAnsi="宋体" w:cs="宋体"/>
                <w:color w:val="000000" w:themeColor="text1"/>
                <w:lang w:val="en-US" w:eastAsia="zh-CN"/>
              </w:rPr>
              <w:t>20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8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产品</w:t>
            </w:r>
            <w:r>
              <w:rPr>
                <w:rFonts w:hint="eastAsia" w:ascii="宋体" w:hAnsi="宋体"/>
                <w:szCs w:val="21"/>
              </w:rPr>
              <w:t>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numPr>
                <w:ilvl w:val="0"/>
                <w:numId w:val="0"/>
              </w:numPr>
              <w:rPr>
                <w:rFonts w:ascii="宋体" w:hAnsi="宋体"/>
                <w:b/>
                <w:color w:val="000000" w:themeColor="text1"/>
                <w:sz w:val="20"/>
                <w:szCs w:val="20"/>
              </w:rPr>
            </w:pPr>
            <w:r>
              <w:rPr>
                <w:rFonts w:hint="eastAsia" w:ascii="宋体" w:hAnsi="宋体"/>
                <w:bCs/>
                <w:iCs/>
                <w:highlight w:val="none"/>
              </w:rPr>
              <w:t>厂房</w:t>
            </w:r>
            <w:r>
              <w:rPr>
                <w:rFonts w:hint="eastAsia" w:ascii="宋体" w:hAnsi="宋体"/>
                <w:szCs w:val="21"/>
                <w:highlight w:val="none"/>
              </w:rPr>
              <w:t>面积</w:t>
            </w:r>
            <w:r>
              <w:rPr>
                <w:rFonts w:hint="eastAsia" w:ascii="宋体" w:hAnsi="宋体"/>
                <w:szCs w:val="21"/>
                <w:highlight w:val="none"/>
                <w:lang w:val="en-US" w:eastAsia="zh-CN"/>
              </w:rPr>
              <w:t>22</w:t>
            </w:r>
            <w:r>
              <w:rPr>
                <w:rFonts w:hint="eastAsia" w:ascii="宋体" w:hAnsi="宋体"/>
                <w:szCs w:val="21"/>
                <w:highlight w:val="none"/>
              </w:rPr>
              <w:t>00平方米左右，车间、库房分开，办公场所面积</w:t>
            </w:r>
            <w:r>
              <w:rPr>
                <w:rFonts w:hint="eastAsia" w:ascii="宋体" w:hAnsi="宋体"/>
                <w:szCs w:val="21"/>
                <w:highlight w:val="none"/>
                <w:lang w:val="en-US" w:eastAsia="zh-CN"/>
              </w:rPr>
              <w:t>300</w:t>
            </w:r>
            <w:r>
              <w:rPr>
                <w:rFonts w:hint="eastAsia" w:ascii="宋体" w:hAnsi="宋体"/>
                <w:szCs w:val="21"/>
                <w:highlight w:val="none"/>
              </w:rPr>
              <w:t>平方米</w:t>
            </w:r>
            <w:r>
              <w:rPr>
                <w:rFonts w:hint="eastAsia" w:ascii="宋体" w:hAnsi="宋体" w:cs="Times New Roman"/>
                <w:bCs/>
                <w:iCs/>
                <w:highlight w:val="none"/>
              </w:rPr>
              <w:t>.主要生产设备包括</w:t>
            </w:r>
            <w:r>
              <w:rPr>
                <w:rFonts w:hint="eastAsia" w:ascii="宋体" w:hAnsi="宋体" w:cs="Times New Roman"/>
                <w:bCs/>
                <w:iCs/>
                <w:highlight w:val="none"/>
                <w:lang w:eastAsia="zh-CN"/>
              </w:rPr>
              <w:t>：</w:t>
            </w:r>
            <w:r>
              <w:rPr>
                <w:rFonts w:hint="eastAsia" w:ascii="宋体" w:hAnsi="宋体" w:cs="Times New Roman"/>
                <w:szCs w:val="21"/>
                <w:highlight w:val="none"/>
                <w:lang w:val="en-US" w:eastAsia="zh-CN"/>
              </w:rPr>
              <w:t>电动螺丝刀、电洛铁、电脑、ORT移动式老化设备、模拟电路器、烧录器等。</w:t>
            </w:r>
            <w:r>
              <w:rPr>
                <w:rFonts w:hint="eastAsia" w:ascii="宋体" w:hAnsi="宋体" w:cs="Times New Roman"/>
                <w:bCs/>
                <w:iCs/>
                <w:highlight w:val="none"/>
                <w:lang w:eastAsia="zh-CN"/>
              </w:rPr>
              <w:t>可以</w:t>
            </w:r>
            <w:r>
              <w:rPr>
                <w:rFonts w:hint="eastAsia" w:ascii="宋体" w:hAnsi="宋体" w:cs="Times New Roman"/>
                <w:bCs/>
                <w:iCs/>
                <w:highlight w:val="none"/>
              </w:rPr>
              <w:t>满足生产需要。对设备按月方式进行点检维护保养，并实</w:t>
            </w:r>
            <w:r>
              <w:rPr>
                <w:rFonts w:hint="eastAsia" w:ascii="宋体" w:hAnsi="宋体"/>
                <w:bCs/>
                <w:iCs/>
                <w:highlight w:val="none"/>
              </w:rPr>
              <w:t>施。特种设备：</w:t>
            </w:r>
            <w:r>
              <w:rPr>
                <w:rFonts w:hint="eastAsia" w:ascii="宋体" w:hAnsi="宋体"/>
                <w:bCs/>
                <w:iCs/>
                <w:highlight w:val="none"/>
                <w:lang w:val="en-US" w:eastAsia="zh-CN"/>
              </w:rPr>
              <w:t>无</w:t>
            </w:r>
            <w:r>
              <w:rPr>
                <w:rFonts w:hint="eastAsia" w:ascii="宋体" w:hAnsi="宋体"/>
                <w:bCs/>
                <w:iCs/>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8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80" w:firstLineChars="200"/>
              <w:rPr>
                <w:rFonts w:hint="default" w:ascii="宋体" w:hAnsi="宋体" w:eastAsia="宋体"/>
                <w:b/>
                <w:color w:val="000000" w:themeColor="text1"/>
                <w:sz w:val="20"/>
                <w:szCs w:val="20"/>
                <w:lang w:val="en-US" w:eastAsia="zh-CN"/>
              </w:rPr>
            </w:pPr>
            <w:r>
              <w:rPr>
                <w:rFonts w:hint="eastAsia" w:ascii="宋体" w:hAnsi="宋体" w:cs="宋体"/>
                <w:color w:val="000000"/>
                <w:szCs w:val="21"/>
                <w:highlight w:val="none"/>
              </w:rPr>
              <w:t>生产车间及检验部门均按策划的要求配置了相应的检测设备，</w:t>
            </w:r>
            <w:r>
              <w:rPr>
                <w:rFonts w:hint="eastAsia" w:ascii="宋体" w:hAnsi="宋体"/>
                <w:b w:val="0"/>
                <w:bCs w:val="0"/>
                <w:szCs w:val="21"/>
                <w:highlight w:val="none"/>
                <w:lang w:val="en-US" w:eastAsia="zh-CN"/>
              </w:rPr>
              <w:t xml:space="preserve"> 现场查看公司检测仪器为租赁的成都交大许继电气有限责任公司的检测仪器，提供有与该厂家的设备租赁协议，及校准证书，详见附件。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60"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60"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8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8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8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8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8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40" w:leftChars="100" w:firstLine="100" w:firstLineChars="50"/>
              <w:jc w:val="left"/>
              <w:rPr>
                <w:rFonts w:hint="default" w:eastAsia="宋体"/>
                <w:b/>
                <w:color w:val="000000" w:themeColor="text1"/>
                <w:sz w:val="20"/>
                <w:szCs w:val="20"/>
                <w:lang w:val="en-US" w:eastAsia="zh-CN"/>
              </w:rPr>
            </w:pPr>
            <w:r>
              <w:rPr>
                <w:rFonts w:hint="eastAsia"/>
                <w:b/>
                <w:sz w:val="20"/>
                <w:szCs w:val="20"/>
              </w:rPr>
              <w:t>特种设备</w:t>
            </w:r>
            <w:r>
              <w:rPr>
                <w:rFonts w:hint="eastAsia"/>
                <w:b/>
                <w:sz w:val="20"/>
                <w:szCs w:val="20"/>
                <w:lang w:eastAsia="zh-CN"/>
              </w:rPr>
              <w:t>：</w:t>
            </w:r>
            <w:r>
              <w:rPr>
                <w:rFonts w:hint="eastAsia"/>
                <w:b/>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600"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w:t>
            </w:r>
            <w:r>
              <w:rPr>
                <w:rFonts w:hint="eastAsia" w:ascii="宋体" w:hAnsi="宋体" w:cs="宋体"/>
                <w:color w:val="000000"/>
                <w:szCs w:val="21"/>
                <w:highlight w:val="none"/>
              </w:rPr>
              <w:t>得到沟通和监视评价，通过数据的汇总统计、描述性统计等方法对目标进行了测量，总体已达到或超过了规定的目标值。通过20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12</w:t>
            </w:r>
            <w:r>
              <w:rPr>
                <w:rFonts w:hint="eastAsia" w:ascii="宋体" w:hAnsi="宋体" w:cs="宋体"/>
                <w:color w:val="000000"/>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2.顾客满意</w:t>
            </w:r>
          </w:p>
          <w:p>
            <w:pPr>
              <w:spacing w:line="240" w:lineRule="exact"/>
              <w:ind w:left="120" w:leftChars="50" w:firstLine="360" w:firstLineChars="150"/>
              <w:rPr>
                <w:b/>
                <w:color w:val="000000" w:themeColor="text1"/>
                <w:sz w:val="20"/>
                <w:szCs w:val="20"/>
              </w:rPr>
            </w:pPr>
            <w:r>
              <w:rPr>
                <w:rFonts w:hint="eastAsia" w:ascii="宋体" w:hAnsi="宋体" w:cs="宋体"/>
                <w:color w:val="000000"/>
                <w:szCs w:val="21"/>
              </w:rPr>
              <w:t>公司建立了顾客满意度监视和测量控制程序，对</w:t>
            </w:r>
            <w:r>
              <w:rPr>
                <w:rFonts w:hint="eastAsia" w:ascii="宋体" w:hAnsi="宋体" w:cs="宋体"/>
                <w:color w:val="000000"/>
                <w:szCs w:val="21"/>
                <w:highlight w:val="none"/>
              </w:rPr>
              <w:t>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98%</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3.</w:t>
            </w:r>
            <w:r>
              <w:rPr>
                <w:rFonts w:hint="eastAsia"/>
                <w:b/>
                <w:color w:val="000000" w:themeColor="text1"/>
                <w:sz w:val="20"/>
                <w:szCs w:val="20"/>
                <w:highlight w:val="none"/>
              </w:rPr>
              <w:t xml:space="preserve"> 内审（包括内审策划审核方案中考虑拟审核的过程和区域的状况和重要性）</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b/>
                <w:color w:val="FF0000"/>
                <w:sz w:val="20"/>
                <w:szCs w:val="20"/>
              </w:rPr>
            </w:pPr>
            <w:r>
              <w:rPr>
                <w:rFonts w:hint="eastAsia" w:ascii="宋体" w:hAnsi="宋体" w:cs="宋体"/>
                <w:color w:val="000000"/>
                <w:szCs w:val="21"/>
                <w:highlight w:val="none"/>
              </w:rPr>
              <w:t>建立有《内部审核控制程序》，规定了内审频次一年一次，内审时间：20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15</w:t>
            </w:r>
            <w:r>
              <w:rPr>
                <w:rFonts w:hint="eastAsia" w:ascii="宋体" w:hAnsi="宋体" w:cs="宋体"/>
                <w:color w:val="000000"/>
                <w:szCs w:val="21"/>
                <w:highlight w:val="none"/>
              </w:rPr>
              <w:t>日，拟定了审核实施表，明确了内审范围，内审人员经培训合格上岗，能力满足要求，未出现审核本部门情况，内审不符合项</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 xml:space="preserve">项， </w:t>
            </w:r>
            <w:r>
              <w:rPr>
                <w:rFonts w:hint="eastAsia" w:ascii="宋体" w:hAnsi="宋体" w:cs="宋体"/>
                <w:szCs w:val="24"/>
              </w:rPr>
              <w:t>涉及</w:t>
            </w:r>
            <w:r>
              <w:rPr>
                <w:rFonts w:hint="eastAsia" w:ascii="宋体" w:hAnsi="宋体"/>
                <w:sz w:val="24"/>
                <w:szCs w:val="24"/>
                <w:lang w:eastAsia="zh-CN"/>
              </w:rPr>
              <w:t>行政部</w:t>
            </w:r>
            <w:r>
              <w:rPr>
                <w:rFonts w:hint="eastAsia" w:ascii="宋体" w:hAnsi="宋体"/>
                <w:sz w:val="24"/>
                <w:szCs w:val="24"/>
                <w:lang w:val="en-US" w:eastAsia="zh-CN"/>
              </w:rPr>
              <w:t>不符合标准7.5条款，2020年7</w:t>
            </w:r>
            <w:r>
              <w:rPr>
                <w:rFonts w:hint="eastAsia" w:ascii="宋体" w:hAnsi="宋体"/>
                <w:sz w:val="24"/>
                <w:szCs w:val="24"/>
              </w:rPr>
              <w:t>月份</w:t>
            </w:r>
            <w:r>
              <w:rPr>
                <w:rFonts w:hint="eastAsia" w:ascii="宋体" w:hAnsi="宋体"/>
                <w:sz w:val="24"/>
                <w:szCs w:val="24"/>
                <w:lang w:val="en-US" w:eastAsia="zh-CN"/>
              </w:rPr>
              <w:t>管理文件未按要求归档不便于检索</w:t>
            </w:r>
            <w:r>
              <w:rPr>
                <w:rFonts w:hint="eastAsia" w:ascii="宋体" w:hAnsi="宋体" w:cs="宋体"/>
                <w:szCs w:val="24"/>
                <w:lang w:eastAsia="zh-CN"/>
              </w:rPr>
              <w:t>，</w:t>
            </w:r>
            <w:r>
              <w:rPr>
                <w:rFonts w:hint="eastAsia" w:ascii="宋体" w:hAnsi="宋体" w:cs="宋体"/>
                <w:color w:val="000000"/>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8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cs="宋体"/>
                <w:szCs w:val="21"/>
                <w:lang w:eastAsia="zh-CN"/>
              </w:rPr>
              <w:t>20</w:t>
            </w:r>
            <w:r>
              <w:rPr>
                <w:rFonts w:hint="eastAsia" w:ascii="宋体" w:hAnsi="宋体" w:cs="宋体"/>
                <w:szCs w:val="21"/>
                <w:lang w:val="en-US" w:eastAsia="zh-CN"/>
              </w:rPr>
              <w:t>20</w:t>
            </w:r>
            <w:r>
              <w:rPr>
                <w:rFonts w:hint="eastAsia" w:ascii="宋体" w:hAnsi="宋体" w:cs="宋体"/>
                <w:szCs w:val="21"/>
                <w:lang w:eastAsia="zh-CN"/>
              </w:rPr>
              <w:t>年</w:t>
            </w:r>
            <w:r>
              <w:rPr>
                <w:rFonts w:hint="eastAsia" w:ascii="宋体" w:hAnsi="宋体" w:cs="宋体"/>
                <w:szCs w:val="21"/>
                <w:lang w:val="en-US" w:eastAsia="zh-CN"/>
              </w:rPr>
              <w:t>8</w:t>
            </w:r>
            <w:r>
              <w:rPr>
                <w:rFonts w:hint="eastAsia" w:ascii="宋体" w:hAnsi="宋体" w:cs="宋体"/>
                <w:szCs w:val="21"/>
                <w:lang w:eastAsia="zh-CN"/>
              </w:rPr>
              <w:t>月</w:t>
            </w:r>
            <w:r>
              <w:rPr>
                <w:rFonts w:hint="eastAsia" w:ascii="宋体" w:hAnsi="宋体" w:cs="宋体"/>
                <w:szCs w:val="21"/>
                <w:lang w:val="en-US" w:eastAsia="zh-CN"/>
              </w:rPr>
              <w:t>24</w:t>
            </w:r>
            <w:r>
              <w:rPr>
                <w:rFonts w:hint="eastAsia" w:ascii="宋体" w:hAnsi="宋体" w:cs="宋体"/>
                <w:szCs w:val="21"/>
                <w:lang w:eastAsia="zh-CN"/>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8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lang w:val="en-US" w:eastAsia="zh-CN"/>
              </w:rPr>
              <w:t>3</w:t>
            </w:r>
            <w:r>
              <w:rPr>
                <w:rFonts w:hint="eastAsia"/>
                <w:b/>
                <w:color w:val="000000" w:themeColor="text1"/>
                <w:sz w:val="20"/>
                <w:szCs w:val="20"/>
              </w:rPr>
              <w:t>.创新情况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lang w:val="en-US" w:eastAsia="zh-CN"/>
              </w:rPr>
              <w:t>4</w:t>
            </w:r>
            <w:r>
              <w:rPr>
                <w:rFonts w:hint="eastAsia"/>
                <w:b/>
                <w:color w:val="000000" w:themeColor="text1"/>
                <w:szCs w:val="21"/>
              </w:rPr>
              <w:t>. 上次不符合的整改情况（再认证填写）</w:t>
            </w:r>
          </w:p>
          <w:p>
            <w:pPr>
              <w:spacing w:line="240" w:lineRule="exact"/>
              <w:rPr>
                <w:rFonts w:hint="default" w:eastAsia="宋体"/>
                <w:b/>
                <w:color w:val="000000" w:themeColor="text1"/>
                <w:szCs w:val="21"/>
                <w:lang w:val="en-US" w:eastAsia="zh-CN"/>
              </w:rPr>
            </w:pPr>
            <w:r>
              <w:rPr>
                <w:rFonts w:hint="eastAsia" w:ascii="宋体" w:hAnsi="宋体" w:cs="宋体"/>
                <w:color w:val="000000" w:themeColor="text1"/>
                <w:szCs w:val="22"/>
                <w:lang w:val="en-US" w:eastAsia="zh-CN"/>
              </w:rPr>
              <w:t>经本次验证上次不符合8.4.1条款本次未出现类似情况。</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2052"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2</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ascii="宋体" w:hAnsi="宋体"/>
          <w:b/>
          <w:kern w:val="0"/>
          <w:sz w:val="20"/>
          <w:szCs w:val="20"/>
        </w:rPr>
        <w:drawing>
          <wp:anchor distT="0" distB="0" distL="114300" distR="114300" simplePos="0" relativeHeight="251676672" behindDoc="0" locked="0" layoutInCell="1" allowOverlap="1">
            <wp:simplePos x="0" y="0"/>
            <wp:positionH relativeFrom="column">
              <wp:posOffset>1729740</wp:posOffset>
            </wp:positionH>
            <wp:positionV relativeFrom="paragraph">
              <wp:posOffset>273050</wp:posOffset>
            </wp:positionV>
            <wp:extent cx="408305" cy="288290"/>
            <wp:effectExtent l="0" t="0" r="10795" b="16510"/>
            <wp:wrapSquare wrapText="bothSides"/>
            <wp:docPr id="1"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李林签名"/>
                    <pic:cNvPicPr>
                      <a:picLocks noChangeAspect="1"/>
                    </pic:cNvPicPr>
                  </pic:nvPicPr>
                  <pic:blipFill>
                    <a:blip r:embed="rId6"/>
                    <a:stretch>
                      <a:fillRect/>
                    </a:stretch>
                  </pic:blipFill>
                  <pic:spPr>
                    <a:xfrm>
                      <a:off x="0" y="0"/>
                      <a:ext cx="408305" cy="288290"/>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2021年01月26日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 xml:space="preserve"> 1 </w:t>
      </w:r>
      <w:r>
        <w:rPr>
          <w:b/>
          <w:sz w:val="21"/>
          <w:szCs w:val="21"/>
        </w:rPr>
        <w:t>)</w:t>
      </w:r>
      <w:r>
        <w:rPr>
          <w:rFonts w:hint="eastAsia"/>
          <w:b/>
          <w:sz w:val="21"/>
          <w:szCs w:val="21"/>
        </w:rPr>
        <w:t>个一般不符合，</w:t>
      </w:r>
      <w:r>
        <w:rPr>
          <w:rFonts w:hint="eastAsia"/>
          <w:b/>
          <w:sz w:val="21"/>
          <w:szCs w:val="21"/>
          <w:lang w:val="en-US" w:eastAsia="zh-CN"/>
        </w:rPr>
        <w:t xml:space="preserve"> </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689" w:firstLineChars="343"/>
        <w:rPr>
          <w:rFonts w:hint="eastAsia"/>
          <w:b/>
          <w:sz w:val="21"/>
          <w:szCs w:val="21"/>
        </w:rPr>
      </w:pPr>
      <w:r>
        <w:rPr>
          <w:rFonts w:hint="eastAsia" w:ascii="宋体" w:hAnsi="宋体"/>
          <w:b/>
          <w:kern w:val="0"/>
          <w:sz w:val="20"/>
          <w:szCs w:val="20"/>
        </w:rPr>
        <w:drawing>
          <wp:anchor distT="0" distB="0" distL="114300" distR="114300" simplePos="0" relativeHeight="251696128" behindDoc="0" locked="0" layoutInCell="1" allowOverlap="1">
            <wp:simplePos x="0" y="0"/>
            <wp:positionH relativeFrom="column">
              <wp:posOffset>1227455</wp:posOffset>
            </wp:positionH>
            <wp:positionV relativeFrom="paragraph">
              <wp:posOffset>205105</wp:posOffset>
            </wp:positionV>
            <wp:extent cx="374015" cy="264160"/>
            <wp:effectExtent l="0" t="0" r="6985" b="2540"/>
            <wp:wrapSquare wrapText="bothSides"/>
            <wp:docPr id="2"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签名"/>
                    <pic:cNvPicPr>
                      <a:picLocks noChangeAspect="1"/>
                    </pic:cNvPicPr>
                  </pic:nvPicPr>
                  <pic:blipFill>
                    <a:blip r:embed="rId6"/>
                    <a:stretch>
                      <a:fillRect/>
                    </a:stretch>
                  </pic:blipFill>
                  <pic:spPr>
                    <a:xfrm>
                      <a:off x="0" y="0"/>
                      <a:ext cx="374015" cy="264160"/>
                    </a:xfrm>
                    <a:prstGeom prst="rect">
                      <a:avLst/>
                    </a:prstGeom>
                    <a:noFill/>
                    <a:ln>
                      <a:noFill/>
                    </a:ln>
                  </pic:spPr>
                </pic:pic>
              </a:graphicData>
            </a:graphic>
          </wp:anchor>
        </w:drawing>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3"/>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3"/>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CED4CA"/>
    <w:multiLevelType w:val="singleLevel"/>
    <w:tmpl w:val="DACED4CA"/>
    <w:lvl w:ilvl="0" w:tentative="0">
      <w:start w:val="1"/>
      <w:numFmt w:val="decimal"/>
      <w:suff w:val="nothing"/>
      <w:lvlText w:val="（%1）"/>
      <w:lvlJc w:val="left"/>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5F1E0F62"/>
    <w:multiLevelType w:val="singleLevel"/>
    <w:tmpl w:val="5F1E0F62"/>
    <w:lvl w:ilvl="0" w:tentative="0">
      <w:start w:val="3"/>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507675"/>
    <w:rsid w:val="09A63EC2"/>
    <w:rsid w:val="0FF65D59"/>
    <w:rsid w:val="100C6512"/>
    <w:rsid w:val="106D1798"/>
    <w:rsid w:val="128852CF"/>
    <w:rsid w:val="15276FD8"/>
    <w:rsid w:val="19137D7F"/>
    <w:rsid w:val="197D55A3"/>
    <w:rsid w:val="1C632830"/>
    <w:rsid w:val="1D225C8E"/>
    <w:rsid w:val="240666AF"/>
    <w:rsid w:val="245961C7"/>
    <w:rsid w:val="26121E10"/>
    <w:rsid w:val="28F77A4F"/>
    <w:rsid w:val="2E0E4B6F"/>
    <w:rsid w:val="3A573F4B"/>
    <w:rsid w:val="3ADF6404"/>
    <w:rsid w:val="3DCB05EF"/>
    <w:rsid w:val="4382225D"/>
    <w:rsid w:val="47430720"/>
    <w:rsid w:val="493679CC"/>
    <w:rsid w:val="552709D8"/>
    <w:rsid w:val="58A515CD"/>
    <w:rsid w:val="59626932"/>
    <w:rsid w:val="597F70E8"/>
    <w:rsid w:val="5B37123A"/>
    <w:rsid w:val="5B81202C"/>
    <w:rsid w:val="5D91081A"/>
    <w:rsid w:val="6030213B"/>
    <w:rsid w:val="6034494A"/>
    <w:rsid w:val="60C425BE"/>
    <w:rsid w:val="6AFD34FC"/>
    <w:rsid w:val="71B42296"/>
    <w:rsid w:val="74332ADA"/>
    <w:rsid w:val="76655AC1"/>
    <w:rsid w:val="7A826E33"/>
    <w:rsid w:val="7D6266C8"/>
    <w:rsid w:val="7DD916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iPriority w:val="99"/>
    <w:rPr>
      <w:sz w:val="18"/>
      <w:szCs w:val="18"/>
    </w:rPr>
  </w:style>
  <w:style w:type="paragraph" w:styleId="3">
    <w:name w:val="footer"/>
    <w:basedOn w:val="1"/>
    <w:link w:val="10"/>
    <w:semiHidden/>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qFormat/>
    <w:uiPriority w:val="99"/>
    <w:rPr>
      <w:color w:val="0000FF"/>
      <w:u w:val="single"/>
    </w:rPr>
  </w:style>
  <w:style w:type="character" w:customStyle="1" w:styleId="9">
    <w:name w:val="批注框文本 Char"/>
    <w:link w:val="2"/>
    <w:semiHidden/>
    <w:qFormat/>
    <w:locked/>
    <w:uiPriority w:val="99"/>
    <w:rPr>
      <w:rFonts w:ascii="Times New Roman" w:hAnsi="Times New Roman" w:eastAsia="宋体" w:cs="Times New Roman"/>
      <w:sz w:val="18"/>
      <w:szCs w:val="18"/>
    </w:rPr>
  </w:style>
  <w:style w:type="character" w:customStyle="1" w:styleId="10">
    <w:name w:val="页脚 Char"/>
    <w:link w:val="3"/>
    <w:semiHidden/>
    <w:qFormat/>
    <w:locked/>
    <w:uiPriority w:val="99"/>
    <w:rPr>
      <w:rFonts w:ascii="Times New Roman" w:hAnsi="Times New Roman" w:eastAsia="宋体" w:cs="Times New Roman"/>
      <w:sz w:val="18"/>
      <w:szCs w:val="18"/>
    </w:rPr>
  </w:style>
  <w:style w:type="character" w:customStyle="1" w:styleId="11">
    <w:name w:val="页眉 Char"/>
    <w:link w:val="4"/>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0</TotalTime>
  <ScaleCrop>false</ScaleCrop>
  <LinksUpToDate>false</LinksUpToDate>
  <CharactersWithSpaces>4386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way一直都在</cp:lastModifiedBy>
  <cp:lastPrinted>2019-04-18T08:15:00Z</cp:lastPrinted>
  <dcterms:modified xsi:type="dcterms:W3CDTF">2021-01-26T02:20:53Z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