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0752-2020-QEO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保定智盛环境卫生清洁有限公司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27"/>
        <w:gridCol w:w="613"/>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组内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身份</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性别</w:t>
            </w:r>
          </w:p>
        </w:tc>
        <w:tc>
          <w:tcPr>
            <w:tcW w:w="26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注册资格</w:t>
            </w:r>
          </w:p>
        </w:tc>
        <w:tc>
          <w:tcPr>
            <w:tcW w:w="29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val="en-US" w:eastAsia="zh-CN"/>
              </w:rPr>
              <w:t>刘玉兰</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组长</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女</w:t>
            </w:r>
          </w:p>
        </w:tc>
        <w:tc>
          <w:tcPr>
            <w:tcW w:w="26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w:t>
            </w:r>
            <w:r>
              <w:rPr>
                <w:rFonts w:hint="eastAsia" w:ascii="宋体" w:hAnsi="宋体" w:eastAsia="宋体" w:cs="宋体"/>
                <w:b w:val="0"/>
                <w:bCs/>
                <w:color w:val="000000"/>
                <w:sz w:val="21"/>
                <w:szCs w:val="21"/>
                <w:lang w:val="en-US" w:eastAsia="zh-CN"/>
              </w:rPr>
              <w:t>EO</w:t>
            </w:r>
            <w:r>
              <w:rPr>
                <w:rFonts w:hint="eastAsia" w:ascii="宋体" w:hAnsi="宋体" w:eastAsia="宋体" w:cs="宋体"/>
                <w:b w:val="0"/>
                <w:bCs/>
                <w:color w:val="000000"/>
                <w:sz w:val="21"/>
                <w:szCs w:val="21"/>
              </w:rPr>
              <w:t>:审核员</w:t>
            </w:r>
          </w:p>
        </w:tc>
        <w:tc>
          <w:tcPr>
            <w:tcW w:w="29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sz w:val="21"/>
                <w:szCs w:val="21"/>
              </w:rPr>
              <w:t>张</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星</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女</w:t>
            </w:r>
          </w:p>
        </w:tc>
        <w:tc>
          <w:tcPr>
            <w:tcW w:w="26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Q</w:t>
            </w:r>
            <w:r>
              <w:rPr>
                <w:rFonts w:hint="eastAsia" w:ascii="宋体" w:hAnsi="宋体" w:eastAsia="宋体" w:cs="宋体"/>
                <w:b w:val="0"/>
                <w:bCs/>
                <w:sz w:val="21"/>
                <w:szCs w:val="21"/>
                <w:lang w:val="en-US" w:eastAsia="zh-CN"/>
              </w:rPr>
              <w:t>E</w:t>
            </w:r>
            <w:r>
              <w:rPr>
                <w:rFonts w:hint="eastAsia" w:ascii="宋体" w:hAnsi="宋体" w:eastAsia="宋体" w:cs="宋体"/>
                <w:b w:val="0"/>
                <w:bCs/>
                <w:sz w:val="21"/>
                <w:szCs w:val="21"/>
              </w:rPr>
              <w:t>审核员</w:t>
            </w:r>
          </w:p>
        </w:tc>
        <w:tc>
          <w:tcPr>
            <w:tcW w:w="29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sz w:val="21"/>
                <w:szCs w:val="21"/>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周文廷</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男</w:t>
            </w:r>
          </w:p>
        </w:tc>
        <w:tc>
          <w:tcPr>
            <w:tcW w:w="26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Q:审核员</w:t>
            </w:r>
          </w:p>
        </w:tc>
        <w:tc>
          <w:tcPr>
            <w:tcW w:w="29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sz w:val="21"/>
                <w:szCs w:val="21"/>
              </w:rPr>
              <w:t>Q:35.17.00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sz w:val="21"/>
                <w:szCs w:val="21"/>
              </w:rPr>
              <w:t>刘鹏涛</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sz w:val="21"/>
                <w:szCs w:val="21"/>
              </w:rPr>
              <w:t>男</w:t>
            </w:r>
          </w:p>
        </w:tc>
        <w:tc>
          <w:tcPr>
            <w:tcW w:w="26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E:专家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sz w:val="21"/>
                <w:szCs w:val="21"/>
              </w:rPr>
              <w:t>O:专家</w:t>
            </w:r>
          </w:p>
        </w:tc>
        <w:tc>
          <w:tcPr>
            <w:tcW w:w="294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Q:35.15.00,35.17.00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E:35.15.00,35.17.00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sz w:val="21"/>
                <w:szCs w:val="21"/>
              </w:rPr>
              <w:t>O:35.15.00,35.17.00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35" w:type="dxa"/>
            <w:gridSpan w:val="3"/>
            <w:vAlign w:val="center"/>
          </w:tcPr>
          <w:p>
            <w:pPr>
              <w:rPr>
                <w:b/>
                <w:color w:val="000000"/>
                <w:sz w:val="20"/>
                <w:szCs w:val="20"/>
              </w:rPr>
            </w:pPr>
            <w:r>
              <w:rPr>
                <w:rFonts w:hint="eastAsia"/>
                <w:b/>
                <w:color w:val="000000"/>
                <w:sz w:val="20"/>
                <w:szCs w:val="20"/>
              </w:rPr>
              <w:t>工作单位</w:t>
            </w:r>
          </w:p>
        </w:tc>
        <w:tc>
          <w:tcPr>
            <w:tcW w:w="294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635" w:type="dxa"/>
            <w:gridSpan w:val="3"/>
            <w:vAlign w:val="center"/>
          </w:tcPr>
          <w:p>
            <w:pPr>
              <w:rPr>
                <w:b/>
                <w:color w:val="000000"/>
              </w:rPr>
            </w:pPr>
          </w:p>
        </w:tc>
        <w:tc>
          <w:tcPr>
            <w:tcW w:w="2946"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保定智盛环境卫生清洁有限公司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保定市恒源西路66号一层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071000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default" w:ascii="宋体" w:eastAsia="宋体"/>
                <w:b/>
                <w:color w:val="000000"/>
                <w:sz w:val="20"/>
                <w:szCs w:val="20"/>
                <w:lang w:val="en-US" w:eastAsia="zh-CN"/>
              </w:rPr>
            </w:pPr>
            <w:bookmarkStart w:id="12" w:name="经营地址"/>
            <w:bookmarkEnd w:id="12"/>
            <w:r>
              <w:rPr>
                <w:rFonts w:ascii="宋体"/>
                <w:b/>
                <w:color w:val="000000"/>
                <w:sz w:val="20"/>
                <w:szCs w:val="20"/>
              </w:rPr>
              <w:t>保定市</w:t>
            </w:r>
            <w:r>
              <w:rPr>
                <w:rFonts w:hint="eastAsia" w:ascii="宋体"/>
                <w:b/>
                <w:color w:val="000000"/>
                <w:sz w:val="20"/>
                <w:szCs w:val="20"/>
                <w:lang w:val="en-US" w:eastAsia="zh-CN"/>
              </w:rPr>
              <w:t>竞秀区向阳北大街2666号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保定市</w:t>
            </w:r>
            <w:r>
              <w:rPr>
                <w:rFonts w:hint="eastAsia" w:ascii="宋体"/>
                <w:b/>
                <w:color w:val="000000"/>
                <w:sz w:val="20"/>
                <w:szCs w:val="20"/>
                <w:lang w:val="en-US" w:eastAsia="zh-CN"/>
              </w:rPr>
              <w:t>竞秀区向阳北大街2666号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071000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张彬</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13315232979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刘颖</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张彬</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794073422@qq.com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Q：绿化管理，物业管理</w:t>
            </w:r>
          </w:p>
          <w:p>
            <w:pPr>
              <w:spacing w:line="400" w:lineRule="exact"/>
              <w:rPr>
                <w:rFonts w:ascii="宋体" w:hAnsi="宋体"/>
                <w:b/>
                <w:color w:val="000000"/>
                <w:sz w:val="20"/>
                <w:szCs w:val="20"/>
              </w:rPr>
            </w:pPr>
            <w:r>
              <w:rPr>
                <w:rFonts w:ascii="宋体" w:hAnsi="宋体"/>
                <w:b/>
                <w:color w:val="000000"/>
                <w:sz w:val="20"/>
                <w:szCs w:val="20"/>
              </w:rPr>
              <w:t>E：绿化管理，物业管理所涉及场所的相关环境管理活动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O：绿化管理，物业管理所涉及场所的相关职业健康安全管理活动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Q：35.15.00;35.17.00</w:t>
            </w:r>
          </w:p>
          <w:p>
            <w:pPr>
              <w:spacing w:line="280" w:lineRule="exact"/>
              <w:rPr>
                <w:rFonts w:ascii="宋体"/>
                <w:b/>
                <w:color w:val="000000"/>
                <w:sz w:val="20"/>
                <w:szCs w:val="20"/>
              </w:rPr>
            </w:pPr>
            <w:r>
              <w:rPr>
                <w:rFonts w:ascii="宋体"/>
                <w:b/>
                <w:color w:val="000000"/>
                <w:sz w:val="20"/>
                <w:szCs w:val="20"/>
              </w:rPr>
              <w:t>E：35.15.00;35.17.00</w:t>
            </w:r>
          </w:p>
          <w:p>
            <w:pPr>
              <w:spacing w:line="280" w:lineRule="exact"/>
              <w:rPr>
                <w:rFonts w:ascii="宋体"/>
                <w:b/>
                <w:color w:val="000000"/>
                <w:sz w:val="20"/>
                <w:szCs w:val="20"/>
              </w:rPr>
            </w:pPr>
            <w:r>
              <w:rPr>
                <w:rFonts w:ascii="宋体"/>
                <w:b/>
                <w:color w:val="000000"/>
                <w:sz w:val="20"/>
                <w:szCs w:val="20"/>
              </w:rPr>
              <w:t>O：35.15.00;35.17.00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Times New Roman"/>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最高</w:t>
      </w:r>
      <w:r>
        <w:rPr>
          <w:rFonts w:hint="eastAsia" w:ascii="宋体" w:hAnsi="宋体" w:cs="Times New Roman"/>
          <w:b/>
          <w:color w:val="000000"/>
          <w:sz w:val="20"/>
          <w:szCs w:val="20"/>
          <w:lang w:val="en-US" w:eastAsia="zh-CN"/>
        </w:rPr>
        <w:t>管理层、办公室、保洁部、管理稽查部。</w:t>
      </w:r>
    </w:p>
    <w:p>
      <w:pPr>
        <w:spacing w:line="300" w:lineRule="auto"/>
        <w:ind w:firstLine="269" w:firstLineChars="134"/>
        <w:rPr>
          <w:rFonts w:hint="default" w:ascii="宋体" w:eastAsia="宋体"/>
          <w:b w:val="0"/>
          <w:bCs w:val="0"/>
          <w:color w:val="000000"/>
          <w:sz w:val="20"/>
          <w:szCs w:val="20"/>
          <w:highlight w:val="yellow"/>
          <w:u w:val="single"/>
          <w:lang w:val="en-US" w:eastAsia="zh-CN"/>
        </w:rPr>
      </w:pPr>
      <w:r>
        <w:rPr>
          <w:rFonts w:hint="eastAsia" w:ascii="宋体" w:hAnsi="宋体"/>
          <w:b/>
          <w:color w:val="000000"/>
          <w:sz w:val="20"/>
          <w:szCs w:val="20"/>
        </w:rPr>
        <w:t>场所：</w:t>
      </w:r>
      <w:r>
        <w:rPr>
          <w:rFonts w:hint="eastAsia" w:ascii="宋体" w:hAnsi="宋体"/>
          <w:b w:val="0"/>
          <w:bCs w:val="0"/>
          <w:sz w:val="18"/>
          <w:szCs w:val="18"/>
        </w:rPr>
        <w:t>保定市恒源西路66号一层</w:t>
      </w:r>
      <w:r>
        <w:rPr>
          <w:rFonts w:hint="eastAsia" w:ascii="宋体" w:hAnsi="宋体"/>
          <w:b w:val="0"/>
          <w:bCs w:val="0"/>
          <w:sz w:val="18"/>
          <w:szCs w:val="18"/>
          <w:lang w:eastAsia="zh-CN"/>
        </w:rPr>
        <w:t>、</w:t>
      </w:r>
      <w:r>
        <w:rPr>
          <w:rFonts w:hint="eastAsia" w:ascii="宋体" w:hAnsi="宋体"/>
          <w:b w:val="0"/>
          <w:bCs w:val="0"/>
          <w:sz w:val="18"/>
          <w:szCs w:val="18"/>
        </w:rPr>
        <w:t>保定市</w:t>
      </w:r>
      <w:r>
        <w:rPr>
          <w:rFonts w:hint="eastAsia" w:ascii="宋体" w:hAnsi="宋体"/>
          <w:b w:val="0"/>
          <w:bCs w:val="0"/>
          <w:sz w:val="18"/>
          <w:szCs w:val="18"/>
          <w:lang w:val="en-US" w:eastAsia="zh-CN"/>
        </w:rPr>
        <w:t>火炬街66号源盛嘉禾小区、</w:t>
      </w:r>
      <w:r>
        <w:rPr>
          <w:rFonts w:hint="eastAsia" w:ascii="宋体" w:hAnsi="宋体"/>
          <w:b w:val="0"/>
          <w:bCs w:val="0"/>
          <w:sz w:val="18"/>
          <w:szCs w:val="18"/>
        </w:rPr>
        <w:t>保定市</w:t>
      </w:r>
      <w:r>
        <w:rPr>
          <w:rFonts w:hint="eastAsia" w:ascii="宋体" w:hAnsi="宋体"/>
          <w:b w:val="0"/>
          <w:bCs w:val="0"/>
          <w:sz w:val="18"/>
          <w:szCs w:val="18"/>
          <w:lang w:val="en-US" w:eastAsia="zh-CN"/>
        </w:rPr>
        <w:t>直隶新城文苑小区。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highlight w:val="none"/>
        </w:rPr>
      </w:pPr>
      <w:r>
        <w:rPr>
          <w:rFonts w:hint="eastAsia" w:ascii="宋体" w:hAnsi="宋体"/>
          <w:b/>
          <w:color w:val="000000"/>
          <w:sz w:val="26"/>
          <w:szCs w:val="26"/>
        </w:rPr>
        <w:t>六、</w:t>
      </w:r>
      <w:r>
        <w:rPr>
          <w:rFonts w:hint="eastAsia" w:ascii="宋体" w:hAnsi="宋体"/>
          <w:b/>
          <w:color w:val="000000"/>
          <w:sz w:val="26"/>
          <w:szCs w:val="26"/>
          <w:highlight w:val="none"/>
        </w:rPr>
        <w:t>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无</w:t>
            </w:r>
          </w:p>
          <w:p>
            <w:pPr>
              <w:tabs>
                <w:tab w:val="left" w:pos="360"/>
              </w:tabs>
              <w:ind w:left="360" w:hanging="360"/>
              <w:rPr>
                <w:rFonts w:hint="eastAsia" w:ascii="宋体" w:hAnsi="宋体" w:eastAsia="宋体" w:cs="宋体"/>
                <w:b w:val="0"/>
                <w:bCs w:val="0"/>
                <w:sz w:val="21"/>
                <w:szCs w:val="21"/>
              </w:rPr>
            </w:pPr>
            <w:r>
              <w:rPr>
                <w:rFonts w:hint="eastAsia" w:ascii="宋体" w:hAnsi="宋体"/>
                <w:b/>
                <w:color w:val="000000"/>
                <w:sz w:val="20"/>
                <w:szCs w:val="20"/>
              </w:rPr>
              <w:t>服务：</w:t>
            </w:r>
            <w:r>
              <w:rPr>
                <w:rFonts w:hint="eastAsia" w:ascii="宋体" w:hAnsi="宋体" w:eastAsia="宋体" w:cs="宋体"/>
                <w:b w:val="0"/>
                <w:bCs w:val="0"/>
                <w:sz w:val="21"/>
                <w:szCs w:val="21"/>
              </w:rPr>
              <w:t>绿化管理，物业管理</w:t>
            </w:r>
          </w:p>
          <w:p>
            <w:pPr>
              <w:tabs>
                <w:tab w:val="left" w:pos="360"/>
              </w:tabs>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审核中发现：企业实际业务为：</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w:t>
            </w:r>
            <w:r>
              <w:rPr>
                <w:rFonts w:hint="eastAsia" w:ascii="宋体" w:hAnsi="宋体" w:eastAsia="宋体" w:cs="宋体"/>
                <w:b w:val="0"/>
                <w:bCs w:val="0"/>
                <w:sz w:val="21"/>
                <w:szCs w:val="21"/>
                <w:lang w:val="en-US" w:eastAsia="zh-CN"/>
              </w:rPr>
              <w:t>。</w:t>
            </w:r>
          </w:p>
          <w:p>
            <w:pPr>
              <w:tabs>
                <w:tab w:val="left" w:pos="360"/>
              </w:tabs>
              <w:ind w:firstLine="420" w:firstLineChars="20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针</w:t>
            </w:r>
            <w:r>
              <w:rPr>
                <w:rFonts w:hint="eastAsia" w:ascii="宋体" w:hAnsi="宋体" w:eastAsia="宋体" w:cs="宋体"/>
                <w:b w:val="0"/>
                <w:bCs w:val="0"/>
                <w:sz w:val="21"/>
                <w:szCs w:val="21"/>
                <w:lang w:val="en-US" w:eastAsia="zh-CN"/>
              </w:rPr>
              <w:t>对这一问题：已填《</w:t>
            </w:r>
            <w:r>
              <w:rPr>
                <w:rFonts w:hint="eastAsia" w:ascii="宋体" w:hAnsi="宋体" w:eastAsia="宋体" w:cs="宋体"/>
                <w:b w:val="0"/>
                <w:bCs w:val="0"/>
                <w:sz w:val="21"/>
                <w:szCs w:val="21"/>
              </w:rPr>
              <w:t>认证信息变更传递单</w:t>
            </w: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办公室、保洁部、管理稽查部、财务部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highlight w:val="none"/>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highlight w:val="none"/>
              </w:rPr>
            </w:pPr>
            <w:r>
              <w:rPr>
                <w:rFonts w:ascii="宋体" w:hAnsi="宋体"/>
                <w:color w:val="000000"/>
                <w:sz w:val="20"/>
                <w:szCs w:val="20"/>
              </w:rPr>
              <w:t>——</w:t>
            </w:r>
            <w:r>
              <w:rPr>
                <w:rFonts w:hint="eastAsia" w:ascii="宋体" w:hAnsi="宋体"/>
                <w:color w:val="000000"/>
                <w:sz w:val="20"/>
                <w:szCs w:val="20"/>
                <w:highlight w:val="none"/>
              </w:rPr>
              <w:t>不在同一地址的分场所</w:t>
            </w:r>
            <w:r>
              <w:rPr>
                <w:rFonts w:ascii="宋体" w:hAnsi="宋体"/>
                <w:color w:val="000000"/>
                <w:sz w:val="20"/>
                <w:szCs w:val="20"/>
                <w:highlight w:val="none"/>
              </w:rPr>
              <w:t>(</w:t>
            </w:r>
            <w:r>
              <w:rPr>
                <w:rFonts w:hint="eastAsia" w:ascii="宋体" w:hAnsi="宋体"/>
                <w:color w:val="000000"/>
                <w:sz w:val="20"/>
                <w:szCs w:val="20"/>
                <w:highlight w:val="none"/>
              </w:rPr>
              <w:t>分厂、子公司、分公司</w:t>
            </w:r>
            <w:r>
              <w:rPr>
                <w:rFonts w:ascii="宋体" w:hAnsi="宋体"/>
                <w:color w:val="000000"/>
                <w:sz w:val="20"/>
                <w:szCs w:val="20"/>
                <w:highlight w:val="none"/>
              </w:rPr>
              <w:t xml:space="preserve">) </w:t>
            </w:r>
            <w:r>
              <w:rPr>
                <w:rFonts w:hint="eastAsia" w:ascii="宋体" w:hAnsi="宋体"/>
                <w:color w:val="000000"/>
                <w:sz w:val="20"/>
                <w:szCs w:val="20"/>
                <w:highlight w:val="none"/>
              </w:rPr>
              <w:t>有几个</w:t>
            </w:r>
            <w:r>
              <w:rPr>
                <w:rFonts w:ascii="宋体" w:hAnsi="宋体"/>
                <w:color w:val="000000"/>
                <w:sz w:val="20"/>
                <w:szCs w:val="20"/>
                <w:highlight w:val="none"/>
              </w:rPr>
              <w:t xml:space="preserve">; </w:t>
            </w:r>
          </w:p>
          <w:p>
            <w:pPr>
              <w:tabs>
                <w:tab w:val="left" w:pos="360"/>
              </w:tabs>
              <w:rPr>
                <w:rFonts w:ascii="宋体"/>
                <w:color w:val="000000"/>
                <w:sz w:val="20"/>
                <w:szCs w:val="20"/>
              </w:rPr>
            </w:pPr>
            <w:r>
              <w:rPr>
                <w:rFonts w:hint="eastAsia" w:ascii="宋体"/>
                <w:color w:val="000000"/>
                <w:sz w:val="20"/>
                <w:szCs w:val="20"/>
                <w:lang w:val="en-US" w:eastAsia="zh-CN"/>
              </w:rPr>
              <w:t>共4个，详见《多场所申报清单》。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w:t>
            </w:r>
            <w:r>
              <w:rPr>
                <w:rFonts w:hint="eastAsia" w:ascii="宋体" w:hAnsi="宋体"/>
                <w:color w:val="000000"/>
                <w:sz w:val="20"/>
                <w:szCs w:val="20"/>
                <w:highlight w:val="none"/>
              </w:rPr>
              <w:t>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w:t>
            </w:r>
            <w:r>
              <w:rPr>
                <w:rFonts w:hint="eastAsia" w:ascii="宋体" w:hAnsi="宋体"/>
                <w:color w:val="000000"/>
                <w:sz w:val="20"/>
                <w:szCs w:val="20"/>
              </w:rPr>
              <w:t>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p>
          <w:p>
            <w:pPr>
              <w:tabs>
                <w:tab w:val="left" w:pos="360"/>
              </w:tabs>
              <w:ind w:left="360" w:hanging="360"/>
              <w:rPr>
                <w:rFonts w:hint="eastAsia" w:ascii="宋体" w:hAnsi="宋体" w:eastAsia="宋体" w:cs="宋体"/>
                <w:b w:val="0"/>
                <w:bCs w:val="0"/>
                <w:sz w:val="21"/>
                <w:szCs w:val="21"/>
              </w:rPr>
            </w:pPr>
            <w:r>
              <w:rPr>
                <w:rFonts w:hint="eastAsia" w:ascii="宋体" w:hAnsi="宋体"/>
                <w:color w:val="000000"/>
                <w:sz w:val="20"/>
                <w:szCs w:val="20"/>
              </w:rPr>
              <w:t>申请范围</w:t>
            </w:r>
            <w:r>
              <w:rPr>
                <w:rFonts w:hint="eastAsia" w:ascii="宋体" w:hAnsi="宋体"/>
                <w:color w:val="000000"/>
                <w:sz w:val="20"/>
                <w:szCs w:val="20"/>
                <w:lang w:eastAsia="zh-CN"/>
              </w:rPr>
              <w:t>：</w:t>
            </w:r>
            <w:r>
              <w:rPr>
                <w:rFonts w:hint="eastAsia" w:ascii="宋体" w:hAnsi="宋体" w:eastAsia="宋体" w:cs="宋体"/>
                <w:b w:val="0"/>
                <w:bCs w:val="0"/>
                <w:sz w:val="21"/>
                <w:szCs w:val="21"/>
              </w:rPr>
              <w:t>绿化管理，物业管理</w:t>
            </w:r>
          </w:p>
          <w:p>
            <w:pPr>
              <w:tabs>
                <w:tab w:val="left" w:pos="360"/>
              </w:tabs>
              <w:rPr>
                <w:rFonts w:hint="eastAsia" w:ascii="宋体" w:eastAsia="宋体"/>
                <w:color w:val="000000"/>
                <w:sz w:val="20"/>
                <w:szCs w:val="20"/>
                <w:lang w:eastAsia="zh-CN"/>
              </w:rPr>
            </w:pPr>
            <w:r>
              <w:rPr>
                <w:rFonts w:hint="eastAsia" w:ascii="宋体" w:hAnsi="宋体"/>
                <w:color w:val="000000"/>
                <w:sz w:val="20"/>
                <w:szCs w:val="20"/>
              </w:rPr>
              <w:t>现场服务</w:t>
            </w:r>
            <w:r>
              <w:rPr>
                <w:rFonts w:hint="eastAsia" w:ascii="宋体" w:hAnsi="宋体"/>
                <w:color w:val="000000"/>
                <w:sz w:val="20"/>
                <w:szCs w:val="20"/>
                <w:lang w:eastAsia="zh-CN"/>
              </w:rPr>
              <w:t>：</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w:t>
            </w: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w:t>
            </w:r>
            <w:r>
              <w:rPr>
                <w:rFonts w:hint="eastAsia" w:ascii="宋体" w:hAnsi="宋体" w:cs="宋体"/>
                <w:b/>
                <w:bCs/>
                <w:sz w:val="18"/>
                <w:szCs w:val="18"/>
                <w:lang w:val="en-US" w:eastAsia="zh-CN"/>
              </w:rPr>
              <w:t>住宅小区保洁服务流程</w:t>
            </w:r>
          </w:p>
          <w:p>
            <w:pPr>
              <w:rPr>
                <w:rFonts w:hint="eastAsia" w:ascii="宋体" w:hAnsi="宋体" w:cs="宋体"/>
                <w:sz w:val="18"/>
                <w:szCs w:val="18"/>
                <w:lang w:val="en-US" w:eastAsia="zh-CN"/>
              </w:rPr>
            </w:pPr>
            <w:r>
              <w:rPr>
                <w:rFonts w:hint="eastAsia" w:ascii="宋体" w:hAnsi="宋体" w:cs="宋体"/>
                <w:b w:val="0"/>
                <w:bCs w:val="0"/>
                <w:sz w:val="18"/>
                <w:szCs w:val="18"/>
                <w:lang w:val="en-US" w:eastAsia="zh-CN"/>
              </w:rPr>
              <w:t>1确定卫生清洁范围，2制定卫生清洁方案，3组织清洁人员进行环境卫生清洁 4组织部门领导进行卫生清洁验收。</w:t>
            </w:r>
          </w:p>
          <w:p>
            <w:pPr>
              <w:snapToGrid w:val="0"/>
              <w:spacing w:line="280" w:lineRule="exact"/>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◆专业保洁服务</w:t>
            </w:r>
            <w:r>
              <w:rPr>
                <w:rFonts w:hint="eastAsia" w:ascii="宋体" w:hAnsi="宋体" w:cs="宋体"/>
                <w:b/>
                <w:bCs/>
                <w:sz w:val="18"/>
                <w:szCs w:val="18"/>
                <w:lang w:val="en-US" w:eastAsia="zh-CN"/>
              </w:rPr>
              <w:t>（其它清洁活动）</w:t>
            </w:r>
          </w:p>
          <w:p>
            <w:pPr>
              <w:rPr>
                <w:rFonts w:ascii="宋体"/>
                <w:color w:val="000000"/>
                <w:sz w:val="20"/>
                <w:szCs w:val="20"/>
              </w:rPr>
            </w:pPr>
            <w:r>
              <w:rPr>
                <w:rFonts w:hint="eastAsia" w:ascii="宋体" w:hAnsi="宋体" w:cs="宋体"/>
                <w:b w:val="0"/>
                <w:bCs w:val="0"/>
                <w:sz w:val="18"/>
                <w:szCs w:val="18"/>
                <w:lang w:val="en-US" w:eastAsia="zh-CN"/>
              </w:rPr>
              <w:t>1确定保洁服务范围，2制定保洁服务方案，3组织保洁人员进行环境卫生清洁 4组织部门领导进行卫生清洁验收。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default" w:ascii="宋体" w:hAnsi="宋体" w:cs="宋体"/>
                <w:sz w:val="18"/>
                <w:szCs w:val="18"/>
                <w:lang w:val="en-US" w:eastAsia="zh-CN"/>
              </w:rPr>
            </w:pPr>
            <w:r>
              <w:rPr>
                <w:rFonts w:hint="eastAsia" w:ascii="宋体" w:hAnsi="宋体" w:cs="宋体"/>
                <w:b/>
                <w:bCs/>
                <w:sz w:val="18"/>
                <w:szCs w:val="18"/>
                <w:lang w:val="en-US" w:eastAsia="zh-CN"/>
              </w:rPr>
              <w:t>住宅小区保洁服务</w:t>
            </w:r>
            <w:r>
              <w:rPr>
                <w:rFonts w:hint="eastAsia" w:ascii="宋体" w:hAnsi="宋体" w:cs="宋体"/>
                <w:sz w:val="18"/>
                <w:szCs w:val="18"/>
                <w:lang w:val="en-US" w:eastAsia="zh-CN"/>
              </w:rPr>
              <w:t>关键控制点：定期清理是环境卫生管理关键控制点。1定期清理工作场所，工作场所不放置与工作无关的物品，设立人物品统一放置场所。2按照本单位的清洁计划开展工作场所清洁工作，保持工作场所的清洁。3配备加盖密闭垃圾桶，最好是脚踏式开启，套垃圾袋后使用，垃圾不超过桶高的四分之三，垃圾至少每天清除一次，并每天清洗垃圾桶，定期消毒。</w:t>
            </w:r>
          </w:p>
          <w:p>
            <w:pPr>
              <w:rPr>
                <w:rFonts w:hint="default" w:ascii="宋体" w:hAnsi="宋体" w:cs="宋体"/>
                <w:sz w:val="18"/>
                <w:szCs w:val="18"/>
                <w:lang w:val="en-US" w:eastAsia="zh-CN"/>
              </w:rPr>
            </w:pPr>
          </w:p>
          <w:p>
            <w:pPr>
              <w:rPr>
                <w:rFonts w:hint="eastAsia" w:ascii="宋体" w:hAnsi="宋体" w:cs="宋体"/>
                <w:sz w:val="18"/>
                <w:szCs w:val="18"/>
                <w:lang w:val="en-US" w:eastAsia="zh-CN"/>
              </w:rPr>
            </w:pPr>
            <w:r>
              <w:rPr>
                <w:rFonts w:hint="eastAsia" w:ascii="宋体" w:hAnsi="宋体" w:cs="宋体"/>
                <w:sz w:val="18"/>
                <w:szCs w:val="18"/>
                <w:lang w:val="en-US" w:eastAsia="zh-CN"/>
              </w:rPr>
              <w:t>专业保洁服务关键控制点：卫生原则，凡是肉眼能看到，手能摸到的地方均要保持干净，公共使用的服务设施要随时清理，工作时注意方式方法，注意不要损毁物品。</w:t>
            </w:r>
          </w:p>
          <w:p>
            <w:pPr>
              <w:rPr>
                <w:rFonts w:ascii="宋体"/>
                <w:color w:val="000000"/>
                <w:sz w:val="20"/>
                <w:szCs w:val="20"/>
              </w:rPr>
            </w:pPr>
            <w:r>
              <w:rPr>
                <w:rFonts w:hint="eastAsia" w:ascii="宋体" w:hAnsi="宋体" w:cs="宋体"/>
                <w:sz w:val="18"/>
                <w:szCs w:val="18"/>
                <w:lang w:val="en-US" w:eastAsia="zh-CN"/>
              </w:rPr>
              <w:t>对保洁人员，卫生清洁人员不定期进行岗位培训，并进行相关业务考核，以提高服务质量。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yellow"/>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保洁工作标准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yellow"/>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CellMar>
            <w:top w:w="0" w:type="dxa"/>
            <w:left w:w="108" w:type="dxa"/>
            <w:bottom w:w="0" w:type="dxa"/>
            <w:right w:w="108" w:type="dxa"/>
          </w:tblCellMar>
        </w:tblPrEx>
        <w:trPr>
          <w:cantSplit/>
          <w:trHeight w:val="348" w:hRule="atLeast"/>
          <w:jc w:val="center"/>
        </w:trPr>
        <w:tc>
          <w:tcPr>
            <w:tcW w:w="9479" w:type="dxa"/>
            <w:gridSpan w:val="2"/>
          </w:tcPr>
          <w:p>
            <w:pPr>
              <w:numPr>
                <w:ilvl w:val="0"/>
                <w:numId w:val="1"/>
              </w:numPr>
              <w:snapToGrid w:val="0"/>
              <w:spacing w:line="280" w:lineRule="exact"/>
              <w:ind w:left="0" w:leftChars="0" w:firstLine="0" w:firstLineChars="0"/>
              <w:jc w:val="both"/>
              <w:rPr>
                <w:rFonts w:hint="default" w:ascii="宋体"/>
                <w:color w:val="000000"/>
                <w:sz w:val="20"/>
                <w:szCs w:val="20"/>
                <w:highlight w:val="none"/>
                <w:lang w:val="en-US"/>
              </w:rPr>
            </w:pPr>
            <w:r>
              <w:rPr>
                <w:rFonts w:hint="eastAsia" w:ascii="宋体"/>
                <w:color w:val="000000"/>
                <w:sz w:val="20"/>
                <w:szCs w:val="20"/>
                <w:highlight w:val="none"/>
              </w:rPr>
              <w:t>重要环境因素有：</w:t>
            </w:r>
            <w:r>
              <w:rPr>
                <w:rFonts w:hint="eastAsia"/>
                <w:b/>
                <w:sz w:val="20"/>
                <w:highlight w:val="none"/>
                <w:lang w:val="en-US" w:eastAsia="zh-CN"/>
              </w:rPr>
              <w:t>环境清洁用水的排放、电的消耗（包括照明用电、办公设备用电 、作业设备用电）、  重要环境影响：固废及粉尘排放（包括垃圾的遗撒、垃圾清运中产生灰尘）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highlight w:val="none"/>
                <w:lang w:eastAsia="zh-CN"/>
              </w:rPr>
            </w:pPr>
            <w:r>
              <w:rPr>
                <w:rFonts w:hint="eastAsia" w:ascii="宋体"/>
                <w:color w:val="000000"/>
                <w:sz w:val="20"/>
                <w:szCs w:val="20"/>
                <w:highlight w:val="none"/>
              </w:rPr>
              <w:t>针对重要环境因素建立了运行控制程序：</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培训管理制度</w:t>
            </w:r>
            <w:r>
              <w:rPr>
                <w:rFonts w:hint="eastAsia" w:asci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highlight w:val="none"/>
                <w:lang w:val="en-US" w:eastAsia="zh-CN"/>
              </w:rPr>
            </w:pPr>
            <w:r>
              <w:rPr>
                <w:rFonts w:hint="eastAsia" w:ascii="宋体"/>
                <w:color w:val="000000"/>
                <w:sz w:val="20"/>
                <w:szCs w:val="20"/>
                <w:highlight w:val="none"/>
              </w:rPr>
              <w:t>针对重要环境因素是否明确了监视和测量的要求：</w:t>
            </w:r>
            <w:r>
              <w:rPr>
                <w:rFonts w:hint="eastAsia" w:ascii="宋体"/>
                <w:color w:val="000000"/>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是否识别了潜在的紧急情况</w:t>
            </w:r>
            <w:r>
              <w:rPr>
                <w:rFonts w:hint="eastAsia" w:ascii="宋体"/>
                <w:color w:val="000000"/>
                <w:sz w:val="20"/>
                <w:szCs w:val="20"/>
                <w:highlight w:val="none"/>
              </w:rPr>
              <w:sym w:font="Wingdings 2" w:char="0052"/>
            </w:r>
            <w:r>
              <w:rPr>
                <w:rFonts w:hint="eastAsia" w:ascii="宋体"/>
                <w:color w:val="000000"/>
                <w:sz w:val="20"/>
                <w:szCs w:val="20"/>
                <w:highlight w:val="none"/>
              </w:rPr>
              <w:t>是□否，识别是否充分□充分</w:t>
            </w:r>
            <w:r>
              <w:rPr>
                <w:rFonts w:hint="eastAsia" w:ascii="宋体"/>
                <w:color w:val="000000"/>
                <w:sz w:val="20"/>
                <w:szCs w:val="20"/>
                <w:highlight w:val="none"/>
              </w:rPr>
              <w:sym w:font="Wingdings 2" w:char="0052"/>
            </w:r>
            <w:r>
              <w:rPr>
                <w:rFonts w:hint="eastAsia" w:asci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针对潜在的紧急情况是否建立了应急准备与响应程序</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是否针对每一种潜在紧急情况建立了应急响应预案是否充分□是□否□充分</w:t>
            </w:r>
            <w:r>
              <w:rPr>
                <w:rFonts w:hint="eastAsia" w:ascii="宋体"/>
                <w:color w:val="000000"/>
                <w:sz w:val="20"/>
                <w:szCs w:val="20"/>
                <w:highlight w:val="none"/>
              </w:rPr>
              <w:sym w:font="Wingdings 2" w:char="0052"/>
            </w:r>
            <w:r>
              <w:rPr>
                <w:rFonts w:hint="eastAsia" w:asci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highlight w:val="yellow"/>
                <w:lang w:eastAsia="zh-CN"/>
              </w:rPr>
            </w:pPr>
            <w:r>
              <w:rPr>
                <w:rFonts w:hint="eastAsia" w:ascii="宋体"/>
                <w:color w:val="000000"/>
                <w:sz w:val="20"/>
                <w:szCs w:val="20"/>
                <w:highlight w:val="none"/>
              </w:rPr>
              <w:t>应急预案有：</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有害垃圾遗撒</w:t>
            </w:r>
            <w:r>
              <w:rPr>
                <w:rFonts w:hint="eastAsia" w:ascii="宋体"/>
                <w:color w:val="000000"/>
                <w:sz w:val="20"/>
                <w:szCs w:val="20"/>
                <w:highlight w:val="none"/>
              </w:rPr>
              <w:t>应急预案</w:t>
            </w:r>
            <w:r>
              <w:rPr>
                <w:rFonts w:hint="eastAsia" w:asci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不可接受风险控制情况（</w:t>
            </w:r>
            <w:r>
              <w:rPr>
                <w:rFonts w:ascii="宋体"/>
                <w:color w:val="000000"/>
                <w:sz w:val="20"/>
                <w:szCs w:val="20"/>
                <w:highlight w:val="none"/>
              </w:rPr>
              <w:t>OHS</w:t>
            </w:r>
            <w:r>
              <w:rPr>
                <w:rFonts w:hint="eastAsia" w:ascii="宋体"/>
                <w:color w:val="00000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不可接受风险有：</w:t>
            </w:r>
            <w:r>
              <w:rPr>
                <w:rFonts w:hint="eastAsia"/>
                <w:b/>
                <w:sz w:val="20"/>
                <w:highlight w:val="none"/>
                <w:lang w:val="en-US" w:eastAsia="zh-CN"/>
              </w:rPr>
              <w:t>化学灼伤、高空坠落、交通事故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highlight w:val="none"/>
              </w:rPr>
            </w:pPr>
            <w:r>
              <w:rPr>
                <w:rFonts w:hint="eastAsia" w:ascii="宋体"/>
                <w:color w:val="000000"/>
                <w:sz w:val="20"/>
                <w:szCs w:val="20"/>
                <w:highlight w:val="none"/>
              </w:rPr>
              <w:t>针对不可接受风险建立了运行控制程序：</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培训管理制度</w:t>
            </w:r>
            <w:r>
              <w:rPr>
                <w:rFonts w:hint="eastAsia" w:asci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highlight w:val="none"/>
                <w:lang w:val="en-US" w:eastAsia="zh-CN"/>
              </w:rPr>
            </w:pPr>
            <w:r>
              <w:rPr>
                <w:rFonts w:hint="eastAsia" w:ascii="宋体"/>
                <w:color w:val="000000"/>
                <w:sz w:val="20"/>
                <w:szCs w:val="20"/>
                <w:highlight w:val="none"/>
              </w:rPr>
              <w:t>针对不可接受风险是否明确了监视和测量的要求：</w:t>
            </w:r>
            <w:r>
              <w:rPr>
                <w:rFonts w:hint="eastAsia" w:ascii="宋体"/>
                <w:color w:val="000000"/>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是否识别了潜在的紧急情况</w:t>
            </w:r>
            <w:r>
              <w:rPr>
                <w:rFonts w:hint="eastAsia" w:ascii="宋体"/>
                <w:color w:val="000000"/>
                <w:sz w:val="20"/>
                <w:szCs w:val="20"/>
                <w:highlight w:val="none"/>
              </w:rPr>
              <w:sym w:font="Wingdings 2" w:char="0052"/>
            </w:r>
            <w:r>
              <w:rPr>
                <w:rFonts w:hint="eastAsia" w:ascii="宋体"/>
                <w:color w:val="000000"/>
                <w:sz w:val="20"/>
                <w:szCs w:val="20"/>
                <w:highlight w:val="none"/>
              </w:rPr>
              <w:t>是□否，识别是否充分□充分</w:t>
            </w:r>
            <w:r>
              <w:rPr>
                <w:rFonts w:hint="eastAsia" w:ascii="宋体"/>
                <w:color w:val="000000"/>
                <w:sz w:val="20"/>
                <w:szCs w:val="20"/>
                <w:highlight w:val="none"/>
              </w:rPr>
              <w:sym w:font="Wingdings 2" w:char="0052"/>
            </w:r>
            <w:r>
              <w:rPr>
                <w:rFonts w:hint="eastAsia" w:asci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针对潜在的紧急情况是否建立了应急准备与响应程序</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A3"/>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2</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17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sym w:font="Wingdings 2" w:char="0052"/>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管理层、办公室、保洁部。</w:t>
            </w:r>
          </w:p>
          <w:p>
            <w:pPr>
              <w:spacing w:line="360" w:lineRule="auto"/>
              <w:rPr>
                <w:rFonts w:hint="default" w:ascii="宋体"/>
                <w:b/>
                <w:color w:val="000000"/>
                <w:sz w:val="20"/>
                <w:szCs w:val="20"/>
                <w:lang w:val="en-US"/>
              </w:rPr>
            </w:pPr>
            <w:r>
              <w:rPr>
                <w:rFonts w:hint="eastAsia" w:ascii="宋体" w:hAnsi="宋体"/>
                <w:b/>
                <w:color w:val="000000"/>
                <w:sz w:val="20"/>
                <w:szCs w:val="20"/>
              </w:rPr>
              <w:t>重点审核过程：</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住宅小区保洁服务过程中质量控制过程及结果。</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szCs w:val="22"/>
                <w:lang w:val="en-US" w:eastAsia="zh-CN"/>
              </w:rPr>
              <w:t>普兰庭小区、香溪名门、</w:t>
            </w:r>
            <w:r>
              <w:rPr>
                <w:rFonts w:hint="eastAsia" w:ascii="宋体"/>
                <w:sz w:val="21"/>
                <w:szCs w:val="21"/>
                <w:lang w:val="en-US" w:eastAsia="zh-CN"/>
              </w:rPr>
              <w:t>双清别院等3个小区</w:t>
            </w:r>
            <w:r>
              <w:rPr>
                <w:rFonts w:hint="eastAsia" w:ascii="宋体"/>
                <w:szCs w:val="22"/>
                <w:lang w:val="en-US" w:eastAsia="zh-CN"/>
              </w:rPr>
              <w:t>垃圾分类运营</w:t>
            </w:r>
            <w:r>
              <w:rPr>
                <w:rFonts w:hint="eastAsia" w:ascii="宋体"/>
                <w:sz w:val="21"/>
                <w:szCs w:val="21"/>
                <w:lang w:val="en-US" w:eastAsia="zh-CN"/>
              </w:rPr>
              <w:t>；</w:t>
            </w:r>
            <w:r>
              <w:rPr>
                <w:rFonts w:hint="eastAsia" w:ascii="宋体" w:hAnsi="Times New Roman" w:eastAsia="宋体" w:cs="Times New Roman"/>
                <w:sz w:val="21"/>
                <w:szCs w:val="21"/>
                <w:lang w:val="en-US" w:eastAsia="zh-CN"/>
              </w:rPr>
              <w:t>保定市公共交通总公司</w:t>
            </w:r>
            <w:r>
              <w:rPr>
                <w:rFonts w:hint="eastAsia" w:ascii="宋体"/>
                <w:sz w:val="21"/>
                <w:szCs w:val="21"/>
                <w:lang w:val="en-US" w:eastAsia="zh-CN"/>
              </w:rPr>
              <w:t>的保洁服务等4个作业场所。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管理层、办公室、保洁部。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szCs w:val="22"/>
                <w:lang w:val="en-US" w:eastAsia="zh-CN"/>
              </w:rPr>
              <w:t>普兰庭小区、香溪名门、</w:t>
            </w:r>
            <w:r>
              <w:rPr>
                <w:rFonts w:hint="eastAsia" w:ascii="宋体"/>
                <w:sz w:val="21"/>
                <w:szCs w:val="21"/>
                <w:lang w:val="en-US" w:eastAsia="zh-CN"/>
              </w:rPr>
              <w:t>双清别院等3个小区</w:t>
            </w:r>
            <w:r>
              <w:rPr>
                <w:rFonts w:hint="eastAsia" w:ascii="宋体"/>
                <w:szCs w:val="22"/>
                <w:lang w:val="en-US" w:eastAsia="zh-CN"/>
              </w:rPr>
              <w:t>垃圾分类运营</w:t>
            </w:r>
            <w:r>
              <w:rPr>
                <w:rFonts w:hint="eastAsia" w:ascii="宋体"/>
                <w:sz w:val="21"/>
                <w:szCs w:val="21"/>
                <w:lang w:val="en-US" w:eastAsia="zh-CN"/>
              </w:rPr>
              <w:t>；</w:t>
            </w:r>
            <w:r>
              <w:rPr>
                <w:rFonts w:hint="eastAsia" w:ascii="宋体" w:hAnsi="Times New Roman" w:eastAsia="宋体" w:cs="Times New Roman"/>
                <w:sz w:val="21"/>
                <w:szCs w:val="21"/>
                <w:lang w:val="en-US" w:eastAsia="zh-CN"/>
              </w:rPr>
              <w:t>保定市公共交通总公司</w:t>
            </w:r>
            <w:r>
              <w:rPr>
                <w:rFonts w:hint="eastAsia" w:ascii="宋体"/>
                <w:sz w:val="21"/>
                <w:szCs w:val="21"/>
                <w:lang w:val="en-US" w:eastAsia="zh-CN"/>
              </w:rPr>
              <w:t>的保洁服务等4个作业场所。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管理层、办公室、保洁部。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szCs w:val="22"/>
                <w:lang w:val="en-US" w:eastAsia="zh-CN"/>
              </w:rPr>
              <w:t>普兰庭小区、香溪名门、</w:t>
            </w:r>
            <w:r>
              <w:rPr>
                <w:rFonts w:hint="eastAsia" w:ascii="宋体"/>
                <w:sz w:val="21"/>
                <w:szCs w:val="21"/>
                <w:lang w:val="en-US" w:eastAsia="zh-CN"/>
              </w:rPr>
              <w:t>双清别院等3个小区</w:t>
            </w:r>
            <w:r>
              <w:rPr>
                <w:rFonts w:hint="eastAsia" w:ascii="宋体"/>
                <w:szCs w:val="22"/>
                <w:lang w:val="en-US" w:eastAsia="zh-CN"/>
              </w:rPr>
              <w:t>垃圾分类运营</w:t>
            </w:r>
            <w:r>
              <w:rPr>
                <w:rFonts w:hint="eastAsia" w:ascii="宋体"/>
                <w:sz w:val="21"/>
                <w:szCs w:val="21"/>
                <w:lang w:val="en-US" w:eastAsia="zh-CN"/>
              </w:rPr>
              <w:t>；</w:t>
            </w:r>
            <w:r>
              <w:rPr>
                <w:rFonts w:hint="eastAsia" w:ascii="宋体" w:hAnsi="Times New Roman" w:eastAsia="宋体" w:cs="Times New Roman"/>
                <w:sz w:val="21"/>
                <w:szCs w:val="21"/>
                <w:lang w:val="en-US" w:eastAsia="zh-CN"/>
              </w:rPr>
              <w:t>保定市公共交通总公司</w:t>
            </w:r>
            <w:r>
              <w:rPr>
                <w:rFonts w:hint="eastAsia" w:ascii="宋体"/>
                <w:sz w:val="21"/>
                <w:szCs w:val="21"/>
                <w:lang w:val="en-US" w:eastAsia="zh-CN"/>
              </w:rPr>
              <w:t>的保洁服务等4个作业场所。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highlight w:val="none"/>
        </w:rPr>
      </w:pPr>
      <w:r>
        <w:rPr>
          <w:rFonts w:hint="eastAsia" w:ascii="宋体" w:hAnsi="宋体"/>
          <w:b/>
          <w:color w:val="000000"/>
          <w:sz w:val="26"/>
          <w:szCs w:val="26"/>
        </w:rPr>
        <w:t>十二、</w:t>
      </w:r>
      <w:r>
        <w:rPr>
          <w:rFonts w:hint="eastAsia" w:ascii="宋体" w:hAnsi="宋体"/>
          <w:b/>
          <w:color w:val="000000"/>
          <w:sz w:val="26"/>
          <w:szCs w:val="26"/>
          <w:highlight w:val="none"/>
        </w:rPr>
        <w:t>评价受审核方是否策划和实施了内部审核与管理评审</w:t>
      </w:r>
      <w:r>
        <w:rPr>
          <w:rFonts w:ascii="宋体" w:hAnsi="宋体"/>
          <w:b/>
          <w:color w:val="000000"/>
          <w:sz w:val="26"/>
          <w:szCs w:val="26"/>
          <w:highlight w:val="none"/>
        </w:rPr>
        <w:t xml:space="preserve">, </w:t>
      </w:r>
      <w:r>
        <w:rPr>
          <w:rFonts w:hint="eastAsia" w:ascii="宋体" w:hAnsi="宋体"/>
          <w:b/>
          <w:color w:val="000000"/>
          <w:sz w:val="26"/>
          <w:szCs w:val="26"/>
          <w:highlight w:val="none"/>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于</w:t>
            </w:r>
            <w:r>
              <w:rPr>
                <w:rFonts w:hint="eastAsia" w:ascii="宋体" w:hAnsi="宋体"/>
                <w:b w:val="0"/>
                <w:bCs/>
                <w:color w:val="000000"/>
                <w:sz w:val="20"/>
                <w:szCs w:val="20"/>
              </w:rPr>
              <w:t>2020年1</w:t>
            </w:r>
            <w:r>
              <w:rPr>
                <w:rFonts w:hint="eastAsia" w:ascii="宋体" w:hAnsi="宋体"/>
                <w:b w:val="0"/>
                <w:bCs/>
                <w:color w:val="000000"/>
                <w:sz w:val="20"/>
                <w:szCs w:val="20"/>
                <w:lang w:val="en-US" w:eastAsia="zh-CN"/>
              </w:rPr>
              <w:t>2</w:t>
            </w:r>
            <w:r>
              <w:rPr>
                <w:rFonts w:hint="eastAsia" w:ascii="宋体" w:hAnsi="宋体"/>
                <w:b w:val="0"/>
                <w:bCs/>
                <w:color w:val="000000"/>
                <w:sz w:val="20"/>
                <w:szCs w:val="20"/>
              </w:rPr>
              <w:t>月10日—11日</w:t>
            </w:r>
            <w:r>
              <w:rPr>
                <w:rFonts w:hint="eastAsia" w:ascii="宋体" w:hAnsi="宋体"/>
                <w:b w:val="0"/>
                <w:bCs/>
                <w:color w:val="000000"/>
                <w:sz w:val="20"/>
                <w:szCs w:val="20"/>
                <w:lang w:val="en-US" w:eastAsia="zh-CN"/>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0" w:firstLineChars="200"/>
              <w:rPr>
                <w:rFonts w:hint="eastAsia" w:ascii="宋体" w:hAnsi="宋体"/>
                <w:b/>
                <w:color w:val="000000"/>
                <w:sz w:val="20"/>
                <w:szCs w:val="20"/>
              </w:rPr>
            </w:pPr>
            <w:r>
              <w:rPr>
                <w:rFonts w:hint="eastAsia" w:ascii="宋体" w:hAnsi="宋体"/>
                <w:b w:val="0"/>
                <w:bCs/>
                <w:color w:val="000000"/>
                <w:sz w:val="20"/>
                <w:szCs w:val="20"/>
              </w:rPr>
              <w:t>通过本次审核，各部门负责人及员工增强了质量意识，提高了质量和安全方面的控制能力，审核组认为本公司建立的管理体系基本符合ISO9001：2015标准、ISO14001:2015标准、ISO45001：2018标准的要求，且运行有效。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了解管理评审的策划;</w:t>
            </w:r>
            <w:r>
              <w:rPr>
                <w:rFonts w:hint="eastAsia" w:ascii="宋体" w:hAnsi="宋体"/>
                <w:b w:val="0"/>
                <w:bCs/>
                <w:color w:val="000000"/>
                <w:sz w:val="20"/>
                <w:szCs w:val="20"/>
                <w:lang w:val="en-US" w:eastAsia="zh-CN"/>
              </w:rPr>
              <w:t>于</w:t>
            </w:r>
            <w:r>
              <w:rPr>
                <w:rFonts w:hint="eastAsia" w:ascii="宋体" w:hAnsi="宋体"/>
                <w:b w:val="0"/>
                <w:bCs/>
                <w:color w:val="000000"/>
                <w:sz w:val="20"/>
                <w:szCs w:val="20"/>
              </w:rPr>
              <w:t>2020.</w:t>
            </w:r>
            <w:r>
              <w:rPr>
                <w:rFonts w:hint="eastAsia" w:ascii="宋体" w:hAnsi="宋体"/>
                <w:b w:val="0"/>
                <w:bCs/>
                <w:color w:val="000000"/>
                <w:sz w:val="20"/>
                <w:szCs w:val="20"/>
                <w:lang w:val="en-US" w:eastAsia="zh-CN"/>
              </w:rPr>
              <w:t>12</w:t>
            </w:r>
            <w:r>
              <w:rPr>
                <w:rFonts w:hint="eastAsia" w:ascii="宋体" w:hAnsi="宋体"/>
                <w:b w:val="0"/>
                <w:bCs/>
                <w:color w:val="000000"/>
                <w:sz w:val="20"/>
                <w:szCs w:val="20"/>
              </w:rPr>
              <w:t>.</w:t>
            </w:r>
            <w:r>
              <w:rPr>
                <w:rFonts w:hint="eastAsia" w:ascii="宋体" w:hAnsi="宋体"/>
                <w:b w:val="0"/>
                <w:bCs/>
                <w:color w:val="000000"/>
                <w:sz w:val="20"/>
                <w:szCs w:val="20"/>
                <w:lang w:val="en-US" w:eastAsia="zh-CN"/>
              </w:rPr>
              <w:t>26进行。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p>
          <w:p>
            <w:pPr>
              <w:spacing w:line="260" w:lineRule="exact"/>
              <w:ind w:firstLine="400" w:firstLineChars="200"/>
              <w:rPr>
                <w:rFonts w:hint="eastAsia" w:ascii="宋体" w:hAnsi="宋体"/>
                <w:b w:val="0"/>
                <w:bCs/>
                <w:color w:val="000000"/>
                <w:sz w:val="20"/>
                <w:szCs w:val="20"/>
              </w:rPr>
            </w:pPr>
            <w:r>
              <w:rPr>
                <w:rFonts w:hint="eastAsia" w:ascii="宋体" w:hAnsi="宋体"/>
                <w:b w:val="0"/>
                <w:bCs/>
                <w:color w:val="000000"/>
                <w:sz w:val="20"/>
                <w:szCs w:val="20"/>
              </w:rPr>
              <w:t>体系中的各要素均已充分有效地运行，在公司现状没有发生重大变化的情况下体系没有重大变更的需要，质量、环境、职业健康管理方针 仍会使用，某些质量、环境、职业健康管理目标  需要调整，待下次会议时商议。体系的过程实现方法没有重大变化。各部门的人员及设备配备齐全。顾客的要求不断提高的情况下，公司的质量要求也要相应提高，力求能持续稳定地满意客户需要。</w:t>
            </w:r>
          </w:p>
          <w:p>
            <w:pPr>
              <w:spacing w:line="260" w:lineRule="exact"/>
              <w:rPr>
                <w:rFonts w:hint="eastAsia" w:ascii="宋体" w:hAnsi="宋体"/>
                <w:b w:val="0"/>
                <w:bCs/>
                <w:color w:val="000000"/>
                <w:sz w:val="20"/>
                <w:szCs w:val="20"/>
              </w:rPr>
            </w:pPr>
            <w:r>
              <w:rPr>
                <w:rFonts w:hint="eastAsia" w:ascii="宋体" w:hAnsi="宋体"/>
                <w:b w:val="0"/>
                <w:bCs/>
                <w:color w:val="000000"/>
                <w:sz w:val="20"/>
                <w:szCs w:val="20"/>
              </w:rPr>
              <w:t xml:space="preserve">   由于公司实施新体系时间不长，对新标准及运作要求有理解不足之处，存在有问题可能没发现，在内审和本次的管理评审中也发现，各部门发现问题的能力不够，还未适应用、GB/T19001-2016 、GB/T24001-2016、 ISO45001:2018的方法进行思考和解决问题，特别是管理体系的运行仍未行成系统化，与原本有做的工作发生有重复性工作，较为零散和生硬。因此，在今后半年的时间内应加强对质量、环境、职业健康管理 体系的运用培训，多加强各部门、GB/T19001-2016 、GB/T24001-2016、ISO45001:2018的理解交流，使GB/T19001-2016 、GB/T24001-2016、ISO45001:2018真正用到实处。由办公室组织在3月底前完成GB/T19001-2016 、GB/T24001-2016、ISO45001:2018的再培训。</w:t>
            </w:r>
          </w:p>
          <w:p>
            <w:pPr>
              <w:spacing w:line="260" w:lineRule="exact"/>
              <w:rPr>
                <w:rFonts w:hint="eastAsia" w:ascii="宋体" w:hAnsi="宋体"/>
                <w:b w:val="0"/>
                <w:bCs/>
                <w:color w:val="000000"/>
                <w:sz w:val="20"/>
                <w:szCs w:val="20"/>
              </w:rPr>
            </w:pPr>
            <w:r>
              <w:rPr>
                <w:rFonts w:hint="eastAsia" w:ascii="宋体" w:hAnsi="宋体"/>
                <w:b w:val="0"/>
                <w:bCs/>
                <w:color w:val="000000"/>
                <w:sz w:val="20"/>
                <w:szCs w:val="20"/>
              </w:rPr>
              <w:t xml:space="preserve">   总的来说，本公司质量、环境、职业健康管理体系已建立并得到充分、有效、适宜的运行，全体员工必须以公司的质量、环境、职业健康管理方针 为宗旨，持续改善质量、环境、职业健康管理体系。</w:t>
            </w:r>
          </w:p>
          <w:p>
            <w:pPr>
              <w:spacing w:line="260" w:lineRule="exact"/>
              <w:ind w:firstLine="400" w:firstLineChars="200"/>
              <w:rPr>
                <w:rFonts w:ascii="宋体"/>
                <w:b/>
                <w:color w:val="000000"/>
                <w:sz w:val="20"/>
                <w:szCs w:val="20"/>
              </w:rPr>
            </w:pPr>
            <w:r>
              <w:rPr>
                <w:rFonts w:hint="eastAsia" w:ascii="宋体" w:hAnsi="宋体"/>
                <w:b w:val="0"/>
                <w:bCs/>
                <w:color w:val="000000"/>
                <w:sz w:val="20"/>
                <w:szCs w:val="20"/>
              </w:rPr>
              <w:t>改进的建议或措施：我公司有关人员对标准ISO9001、ISO14001、ISO45001:2018的理解不够深刻，现要求各部门负责人应加强公司质量、环境、职业健康对管理体系文件的认真再学习，并充分理解，树立法制管理的观念，严格执行公司的法规性的质量、环境、职业健康与管理体系文件，决定在两周之内由办公室组织相关人员再进行1次针对标准和管理手册的培训。</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cs="宋体"/>
          <w:b w:val="0"/>
          <w:bCs w:val="0"/>
          <w:sz w:val="21"/>
          <w:szCs w:val="21"/>
          <w:lang w:val="en-US" w:eastAsia="zh-CN"/>
        </w:rPr>
      </w:pPr>
      <w:r>
        <w:rPr>
          <w:rFonts w:ascii="宋体" w:hAnsi="宋体"/>
          <w:b/>
          <w:color w:val="000000"/>
          <w:sz w:val="20"/>
          <w:szCs w:val="20"/>
        </w:rPr>
        <w:t>QMS:</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w:t>
      </w:r>
      <w:r>
        <w:rPr>
          <w:rFonts w:hint="eastAsia" w:ascii="宋体" w:hAnsi="宋体" w:eastAsia="宋体" w:cs="宋体"/>
          <w:b w:val="0"/>
          <w:bCs w:val="0"/>
          <w:sz w:val="21"/>
          <w:szCs w:val="21"/>
        </w:rPr>
        <w:t>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eastAsia="宋体" w:cs="宋体"/>
          <w:b w:val="0"/>
          <w:bCs w:val="0"/>
          <w:sz w:val="21"/>
          <w:szCs w:val="21"/>
          <w:lang w:val="en-US" w:eastAsia="zh-CN"/>
        </w:rPr>
        <w:t>专业保洁服务（其它清洁活动）、</w:t>
      </w:r>
      <w:r>
        <w:rPr>
          <w:rFonts w:hint="eastAsia" w:ascii="宋体" w:hAnsi="宋体" w:cs="宋体"/>
          <w:b w:val="0"/>
          <w:bCs w:val="0"/>
          <w:sz w:val="21"/>
          <w:szCs w:val="21"/>
          <w:lang w:val="en-US" w:eastAsia="zh-CN"/>
        </w:rPr>
        <w:t>住宅小区保洁服务</w:t>
      </w:r>
      <w:r>
        <w:rPr>
          <w:rFonts w:hint="eastAsia" w:ascii="宋体" w:hAnsi="宋体" w:eastAsia="宋体" w:cs="宋体"/>
          <w:b w:val="0"/>
          <w:bCs w:val="0"/>
          <w:sz w:val="21"/>
          <w:szCs w:val="21"/>
        </w:rPr>
        <w:t>所涉及场所的相关职业健康安全管理活动</w:t>
      </w:r>
    </w:p>
    <w:p>
      <w:pPr>
        <w:spacing w:before="156" w:beforeLines="50" w:after="62" w:afterLines="20" w:line="360" w:lineRule="exact"/>
        <w:ind w:firstLine="210" w:firstLineChars="100"/>
        <w:rPr>
          <w:rFonts w:ascii="宋体"/>
          <w:b/>
          <w:bCs/>
          <w:color w:val="000000"/>
          <w:sz w:val="26"/>
          <w:szCs w:val="26"/>
          <w:highlight w:val="none"/>
        </w:rPr>
      </w:pPr>
      <w:r>
        <w:rPr>
          <w:highlight w:val="none"/>
        </w:rPr>
        <w:drawing>
          <wp:anchor distT="0" distB="0" distL="114300" distR="114300" simplePos="0" relativeHeight="251659264" behindDoc="0" locked="0" layoutInCell="1" allowOverlap="1">
            <wp:simplePos x="0" y="0"/>
            <wp:positionH relativeFrom="column">
              <wp:posOffset>1781175</wp:posOffset>
            </wp:positionH>
            <wp:positionV relativeFrom="paragraph">
              <wp:posOffset>359410</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bCs/>
          <w:color w:val="000000"/>
          <w:sz w:val="26"/>
          <w:szCs w:val="26"/>
          <w:highlight w:val="none"/>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240" w:lineRule="auto"/>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b/>
          <w:color w:val="000000"/>
        </w:rPr>
        <w:drawing>
          <wp:inline distT="0" distB="0" distL="114300" distR="114300">
            <wp:extent cx="692150" cy="228600"/>
            <wp:effectExtent l="0" t="0" r="6350" b="0"/>
            <wp:docPr id="4" name="图片 4" descr="74340615190553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43406151905534111"/>
                    <pic:cNvPicPr>
                      <a:picLocks noChangeAspect="1"/>
                    </pic:cNvPicPr>
                  </pic:nvPicPr>
                  <pic:blipFill>
                    <a:blip r:embed="rId7"/>
                    <a:stretch>
                      <a:fillRect/>
                    </a:stretch>
                  </pic:blipFill>
                  <pic:spPr>
                    <a:xfrm>
                      <a:off x="0" y="0"/>
                      <a:ext cx="692150" cy="228600"/>
                    </a:xfrm>
                    <a:prstGeom prst="rect">
                      <a:avLst/>
                    </a:prstGeom>
                  </pic:spPr>
                </pic:pic>
              </a:graphicData>
            </a:graphic>
          </wp:inline>
        </w:drawing>
      </w:r>
      <w:r>
        <w:rPr>
          <w:rFonts w:hint="eastAsia" w:ascii="宋体" w:hAnsi="宋体"/>
          <w:b/>
          <w:color w:val="000000"/>
          <w:lang w:val="en-US" w:eastAsia="zh-CN"/>
        </w:rPr>
        <w:t xml:space="preserve"> </w:t>
      </w:r>
      <w:r>
        <w:rPr>
          <w:rFonts w:ascii="宋体" w:hAnsi="宋体"/>
          <w:b/>
          <w:color w:val="000000"/>
        </w:rPr>
        <w:t xml:space="preserve"> </w:t>
      </w:r>
      <w:r>
        <w:rPr>
          <w:rFonts w:hint="eastAsia" w:ascii="宋体" w:eastAsia="宋体"/>
          <w:b/>
          <w:color w:val="000000"/>
          <w:lang w:eastAsia="zh-CN"/>
        </w:rPr>
        <w:drawing>
          <wp:inline distT="0" distB="0" distL="114300" distR="114300">
            <wp:extent cx="527050" cy="425450"/>
            <wp:effectExtent l="0" t="0" r="6350" b="6350"/>
            <wp:docPr id="7" name="图片 7" descr="21462958514337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4629585143375324"/>
                    <pic:cNvPicPr>
                      <a:picLocks noChangeAspect="1"/>
                    </pic:cNvPicPr>
                  </pic:nvPicPr>
                  <pic:blipFill>
                    <a:blip r:embed="rId8"/>
                    <a:stretch>
                      <a:fillRect/>
                    </a:stretch>
                  </pic:blipFill>
                  <pic:spPr>
                    <a:xfrm>
                      <a:off x="0" y="0"/>
                      <a:ext cx="527050" cy="425450"/>
                    </a:xfrm>
                    <a:prstGeom prst="rect">
                      <a:avLst/>
                    </a:prstGeom>
                  </pic:spPr>
                </pic:pic>
              </a:graphicData>
            </a:graphic>
          </wp:inline>
        </w:drawing>
      </w:r>
      <w:r>
        <w:rPr>
          <w:rFonts w:hint="eastAsia" w:ascii="宋体" w:eastAsia="宋体"/>
          <w:b/>
          <w:color w:val="000000"/>
          <w:lang w:eastAsia="zh-CN"/>
        </w:rPr>
        <w:drawing>
          <wp:inline distT="0" distB="0" distL="114300" distR="114300">
            <wp:extent cx="896620" cy="1184910"/>
            <wp:effectExtent l="0" t="0" r="5080" b="8890"/>
            <wp:docPr id="5" name="图片 5" descr="39222788389163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2227883891630503"/>
                    <pic:cNvPicPr>
                      <a:picLocks noChangeAspect="1"/>
                    </pic:cNvPicPr>
                  </pic:nvPicPr>
                  <pic:blipFill>
                    <a:blip r:embed="rId9"/>
                    <a:stretch>
                      <a:fillRect/>
                    </a:stretch>
                  </pic:blipFill>
                  <pic:spPr>
                    <a:xfrm>
                      <a:off x="0" y="0"/>
                      <a:ext cx="896620" cy="1184910"/>
                    </a:xfrm>
                    <a:prstGeom prst="rect">
                      <a:avLst/>
                    </a:prstGeom>
                  </pic:spPr>
                </pic:pic>
              </a:graphicData>
            </a:graphic>
          </wp:inline>
        </w:drawing>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2021.4.10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bookmarkStart w:id="23" w:name="_GoBack"/>
            <w:bookmarkEnd w:id="23"/>
            <w:r>
              <w:rPr>
                <w:rFonts w:hint="eastAsia" w:ascii="华文宋体" w:hAnsi="华文宋体" w:eastAsia="华文宋体"/>
                <w:sz w:val="28"/>
              </w:rPr>
              <w:drawing>
                <wp:anchor distT="0" distB="0" distL="114300" distR="114300" simplePos="0" relativeHeight="251664384" behindDoc="1" locked="0" layoutInCell="1" allowOverlap="1">
                  <wp:simplePos x="0" y="0"/>
                  <wp:positionH relativeFrom="column">
                    <wp:posOffset>3025775</wp:posOffset>
                  </wp:positionH>
                  <wp:positionV relativeFrom="paragraph">
                    <wp:posOffset>168910</wp:posOffset>
                  </wp:positionV>
                  <wp:extent cx="666115" cy="281305"/>
                  <wp:effectExtent l="0" t="0" r="6985" b="10795"/>
                  <wp:wrapTight wrapText="bothSides">
                    <wp:wrapPolygon>
                      <wp:start x="0" y="0"/>
                      <wp:lineTo x="0" y="20479"/>
                      <wp:lineTo x="21003" y="20479"/>
                      <wp:lineTo x="21003" y="0"/>
                      <wp:lineTo x="0" y="0"/>
                    </wp:wrapPolygon>
                  </wp:wrapTight>
                  <wp:docPr id="10" name="图片 3" descr="21462958514337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214629585143375324"/>
                          <pic:cNvPicPr>
                            <a:picLocks noChangeAspect="1"/>
                          </pic:cNvPicPr>
                        </pic:nvPicPr>
                        <pic:blipFill>
                          <a:blip r:embed="rId8"/>
                          <a:srcRect t="27237" b="20448"/>
                          <a:stretch>
                            <a:fillRect/>
                          </a:stretch>
                        </pic:blipFill>
                        <pic:spPr>
                          <a:xfrm>
                            <a:off x="0" y="0"/>
                            <a:ext cx="666115" cy="281305"/>
                          </a:xfrm>
                          <a:prstGeom prst="rect">
                            <a:avLst/>
                          </a:prstGeom>
                          <a:noFill/>
                          <a:ln>
                            <a:noFill/>
                          </a:ln>
                        </pic:spPr>
                      </pic:pic>
                    </a:graphicData>
                  </a:graphic>
                </wp:anchor>
              </w:drawing>
            </w:r>
            <w:r>
              <w:rPr>
                <w:highlight w:val="yellow"/>
              </w:rPr>
              <w:drawing>
                <wp:anchor distT="0" distB="0" distL="114300" distR="114300" simplePos="0" relativeHeight="251661312" behindDoc="0" locked="0" layoutInCell="1" allowOverlap="1">
                  <wp:simplePos x="0" y="0"/>
                  <wp:positionH relativeFrom="column">
                    <wp:posOffset>1550035</wp:posOffset>
                  </wp:positionH>
                  <wp:positionV relativeFrom="paragraph">
                    <wp:posOffset>161925</wp:posOffset>
                  </wp:positionV>
                  <wp:extent cx="575310" cy="279400"/>
                  <wp:effectExtent l="0" t="0" r="8890" b="0"/>
                  <wp:wrapNone/>
                  <wp:docPr id="6"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QQ截图20160124084745 拷贝"/>
                          <pic:cNvPicPr>
                            <a:picLocks noChangeAspect="1"/>
                          </pic:cNvPicPr>
                        </pic:nvPicPr>
                        <pic:blipFill>
                          <a:blip r:embed="rId6"/>
                          <a:stretch>
                            <a:fillRect/>
                          </a:stretch>
                        </pic:blipFill>
                        <pic:spPr>
                          <a:xfrm>
                            <a:off x="0" y="0"/>
                            <a:ext cx="575310" cy="279400"/>
                          </a:xfrm>
                          <a:prstGeom prst="rect">
                            <a:avLst/>
                          </a:prstGeom>
                          <a:noFill/>
                          <a:ln>
                            <a:noFill/>
                          </a:ln>
                        </pic:spPr>
                      </pic:pic>
                    </a:graphicData>
                  </a:graphic>
                </wp:anchor>
              </w:drawing>
            </w:r>
            <w:r>
              <w:rPr>
                <w:rFonts w:hint="eastAsia" w:eastAsiaTheme="minorEastAsia"/>
                <w:lang w:eastAsia="zh-CN"/>
              </w:rPr>
              <w:drawing>
                <wp:anchor distT="0" distB="0" distL="114300" distR="114300" simplePos="0" relativeHeight="251662336" behindDoc="1" locked="0" layoutInCell="1" allowOverlap="1">
                  <wp:simplePos x="0" y="0"/>
                  <wp:positionH relativeFrom="column">
                    <wp:posOffset>2372995</wp:posOffset>
                  </wp:positionH>
                  <wp:positionV relativeFrom="paragraph">
                    <wp:posOffset>125095</wp:posOffset>
                  </wp:positionV>
                  <wp:extent cx="525780" cy="260985"/>
                  <wp:effectExtent l="0" t="0" r="7620" b="5715"/>
                  <wp:wrapTight wrapText="bothSides">
                    <wp:wrapPolygon>
                      <wp:start x="0" y="0"/>
                      <wp:lineTo x="0" y="21022"/>
                      <wp:lineTo x="20870" y="21022"/>
                      <wp:lineTo x="20870" y="0"/>
                      <wp:lineTo x="0" y="0"/>
                    </wp:wrapPolygon>
                  </wp:wrapTight>
                  <wp:docPr id="9" name="图片 2" descr="39222788389163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392227883891630503"/>
                          <pic:cNvPicPr>
                            <a:picLocks noChangeAspect="1"/>
                          </pic:cNvPicPr>
                        </pic:nvPicPr>
                        <pic:blipFill>
                          <a:blip r:embed="rId9"/>
                          <a:srcRect l="10085" t="33243" r="53293" b="43739"/>
                          <a:stretch>
                            <a:fillRect/>
                          </a:stretch>
                        </pic:blipFill>
                        <pic:spPr>
                          <a:xfrm>
                            <a:off x="0" y="0"/>
                            <a:ext cx="525780" cy="260985"/>
                          </a:xfrm>
                          <a:prstGeom prst="rect">
                            <a:avLst/>
                          </a:prstGeom>
                          <a:noFill/>
                          <a:ln>
                            <a:noFill/>
                          </a:ln>
                        </pic:spPr>
                      </pic:pic>
                    </a:graphicData>
                  </a:graphic>
                </wp:anchor>
              </w:drawing>
            </w:r>
          </w:p>
          <w:p>
            <w:pPr>
              <w:spacing w:line="280" w:lineRule="exact"/>
              <w:rPr>
                <w:rFonts w:hint="default" w:eastAsia="宋体"/>
                <w:b/>
                <w:color w:val="000000"/>
                <w:sz w:val="22"/>
                <w:szCs w:val="22"/>
                <w:highlight w:val="none"/>
                <w:lang w:val="en-US" w:eastAsia="zh-CN"/>
              </w:rPr>
            </w:pPr>
            <w:r>
              <w:rPr>
                <w:rFonts w:hint="eastAsia" w:eastAsia="宋体"/>
                <w:b/>
                <w:color w:val="000000"/>
                <w:sz w:val="22"/>
                <w:szCs w:val="22"/>
                <w:highlight w:val="none"/>
                <w:lang w:eastAsia="zh-CN"/>
              </w:rPr>
              <w:drawing>
                <wp:anchor distT="0" distB="0" distL="114300" distR="114300" simplePos="0" relativeHeight="251663360" behindDoc="1" locked="0" layoutInCell="1" allowOverlap="1">
                  <wp:simplePos x="0" y="0"/>
                  <wp:positionH relativeFrom="column">
                    <wp:posOffset>771525</wp:posOffset>
                  </wp:positionH>
                  <wp:positionV relativeFrom="paragraph">
                    <wp:posOffset>6350</wp:posOffset>
                  </wp:positionV>
                  <wp:extent cx="612140" cy="228600"/>
                  <wp:effectExtent l="0" t="0" r="10160" b="0"/>
                  <wp:wrapTight wrapText="bothSides">
                    <wp:wrapPolygon>
                      <wp:start x="0" y="0"/>
                      <wp:lineTo x="0" y="20400"/>
                      <wp:lineTo x="21062" y="20400"/>
                      <wp:lineTo x="21062" y="0"/>
                      <wp:lineTo x="0" y="0"/>
                    </wp:wrapPolygon>
                  </wp:wrapTight>
                  <wp:docPr id="3" name="图片 3" descr="74340615190553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43406151905534111"/>
                          <pic:cNvPicPr>
                            <a:picLocks noChangeAspect="1"/>
                          </pic:cNvPicPr>
                        </pic:nvPicPr>
                        <pic:blipFill>
                          <a:blip r:embed="rId7"/>
                          <a:stretch>
                            <a:fillRect/>
                          </a:stretch>
                        </pic:blipFill>
                        <pic:spPr>
                          <a:xfrm>
                            <a:off x="0" y="0"/>
                            <a:ext cx="612140" cy="228600"/>
                          </a:xfrm>
                          <a:prstGeom prst="rect">
                            <a:avLst/>
                          </a:prstGeom>
                        </pic:spPr>
                      </pic:pic>
                    </a:graphicData>
                  </a:graphic>
                </wp:anchor>
              </w:drawing>
            </w:r>
            <w:r>
              <w:rPr>
                <w:rFonts w:hint="eastAsia"/>
                <w:b/>
                <w:color w:val="000000"/>
                <w:sz w:val="22"/>
                <w:szCs w:val="22"/>
                <w:highlight w:val="none"/>
              </w:rPr>
              <w:t>审核员：</w:t>
            </w:r>
            <w:r>
              <w:rPr>
                <w:rFonts w:hint="eastAsia"/>
                <w:b/>
                <w:color w:val="000000"/>
                <w:sz w:val="22"/>
                <w:szCs w:val="22"/>
                <w:highlight w:val="none"/>
                <w:lang w:val="en-US" w:eastAsia="zh-CN"/>
              </w:rPr>
              <w:t xml:space="preserve">      </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刘玉兰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959AF"/>
    <w:multiLevelType w:val="singleLevel"/>
    <w:tmpl w:val="B10959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A67DF"/>
    <w:rsid w:val="11CE0562"/>
    <w:rsid w:val="11E140D0"/>
    <w:rsid w:val="11FD4CF4"/>
    <w:rsid w:val="131C6A39"/>
    <w:rsid w:val="169D65DA"/>
    <w:rsid w:val="18D2356D"/>
    <w:rsid w:val="1CBC6AAE"/>
    <w:rsid w:val="1F996095"/>
    <w:rsid w:val="22703CDB"/>
    <w:rsid w:val="26857AD5"/>
    <w:rsid w:val="2A420D0A"/>
    <w:rsid w:val="30CA6361"/>
    <w:rsid w:val="3FA0048D"/>
    <w:rsid w:val="4083176A"/>
    <w:rsid w:val="51E50FE8"/>
    <w:rsid w:val="57FD74B5"/>
    <w:rsid w:val="63572C96"/>
    <w:rsid w:val="66844440"/>
    <w:rsid w:val="6E6116D9"/>
    <w:rsid w:val="70603BE0"/>
    <w:rsid w:val="77325DFF"/>
    <w:rsid w:val="785928C1"/>
    <w:rsid w:val="7EB33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2021-04-21T03:28:01Z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74BC8CBB3DC34FD3B6650218DB3CA8D1</vt:lpwstr>
  </property>
</Properties>
</file>